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CD968" w14:textId="4CD1AE61" w:rsidR="009349F4" w:rsidRDefault="009349F4" w:rsidP="009349F4">
      <w:pPr>
        <w:pStyle w:val="Header"/>
        <w:tabs>
          <w:tab w:val="right" w:pos="9630"/>
          <w:tab w:val="right" w:pos="13323"/>
        </w:tabs>
        <w:rPr>
          <w:rFonts w:cs="Arial"/>
          <w:sz w:val="24"/>
          <w:szCs w:val="24"/>
          <w:lang w:eastAsia="ja-JP"/>
        </w:rPr>
      </w:pPr>
      <w:bookmarkStart w:id="0" w:name="_Hlk510534163"/>
      <w:r>
        <w:rPr>
          <w:rFonts w:cs="Arial"/>
          <w:sz w:val="24"/>
          <w:szCs w:val="24"/>
        </w:rPr>
        <w:t>3GPP TSG-RAN WG4 Meeting #86bis</w:t>
      </w:r>
      <w:r>
        <w:rPr>
          <w:rFonts w:cs="Arial"/>
          <w:sz w:val="24"/>
          <w:szCs w:val="24"/>
        </w:rPr>
        <w:tab/>
      </w:r>
      <w:r>
        <w:rPr>
          <w:rFonts w:cs="Arial"/>
          <w:color w:val="000000"/>
          <w:sz w:val="24"/>
          <w:szCs w:val="24"/>
        </w:rPr>
        <w:t>R4-18</w:t>
      </w:r>
      <w:r w:rsidR="000A33AE">
        <w:rPr>
          <w:rFonts w:cs="Arial"/>
          <w:color w:val="000000"/>
          <w:sz w:val="24"/>
          <w:szCs w:val="24"/>
        </w:rPr>
        <w:t>04422</w:t>
      </w:r>
    </w:p>
    <w:p w14:paraId="3DCD1E42" w14:textId="19ADBDC1" w:rsidR="009349F4" w:rsidRDefault="009349F4" w:rsidP="009349F4">
      <w:pPr>
        <w:pStyle w:val="Header"/>
        <w:rPr>
          <w:noProof w:val="0"/>
          <w:lang w:val="en-GB"/>
        </w:rPr>
      </w:pPr>
      <w:r>
        <w:rPr>
          <w:rFonts w:eastAsia="SimSun"/>
          <w:sz w:val="24"/>
          <w:szCs w:val="24"/>
          <w:lang w:eastAsia="zh-CN"/>
        </w:rPr>
        <w:t>Melbourne, Australia, 16</w:t>
      </w:r>
      <w:r w:rsidR="00492816" w:rsidRPr="00492816">
        <w:rPr>
          <w:rFonts w:eastAsia="SimSun"/>
          <w:sz w:val="24"/>
          <w:szCs w:val="24"/>
          <w:vertAlign w:val="superscript"/>
          <w:lang w:eastAsia="zh-CN"/>
        </w:rPr>
        <w:t>th</w:t>
      </w:r>
      <w:r w:rsidR="00492816">
        <w:rPr>
          <w:rFonts w:eastAsia="SimSun"/>
          <w:sz w:val="24"/>
          <w:szCs w:val="24"/>
          <w:lang w:eastAsia="zh-CN"/>
        </w:rPr>
        <w:t xml:space="preserve"> </w:t>
      </w:r>
      <w:r>
        <w:rPr>
          <w:rFonts w:eastAsia="SimSun"/>
          <w:sz w:val="24"/>
          <w:szCs w:val="24"/>
          <w:lang w:eastAsia="zh-CN"/>
        </w:rPr>
        <w:t>– 20</w:t>
      </w:r>
      <w:r w:rsidR="00492816" w:rsidRPr="00492816">
        <w:rPr>
          <w:rFonts w:eastAsia="SimSun"/>
          <w:sz w:val="24"/>
          <w:szCs w:val="24"/>
          <w:vertAlign w:val="superscript"/>
          <w:lang w:eastAsia="zh-CN"/>
        </w:rPr>
        <w:t>th</w:t>
      </w:r>
      <w:r w:rsidR="00492816">
        <w:rPr>
          <w:rFonts w:eastAsia="SimSun"/>
          <w:sz w:val="24"/>
          <w:szCs w:val="24"/>
          <w:lang w:eastAsia="zh-CN"/>
        </w:rPr>
        <w:t xml:space="preserve"> </w:t>
      </w:r>
      <w:r>
        <w:rPr>
          <w:rFonts w:eastAsia="SimSun"/>
          <w:sz w:val="24"/>
          <w:szCs w:val="24"/>
          <w:lang w:eastAsia="zh-CN"/>
        </w:rPr>
        <w:t>April, 2018</w:t>
      </w:r>
    </w:p>
    <w:bookmarkEnd w:id="0"/>
    <w:p w14:paraId="010E9BA7" w14:textId="77777777" w:rsidR="00070561" w:rsidRPr="008C4D7E" w:rsidRDefault="00070561" w:rsidP="00070561">
      <w:pPr>
        <w:pStyle w:val="Header"/>
        <w:rPr>
          <w:noProof w:val="0"/>
          <w:lang w:val="en-GB"/>
        </w:rPr>
      </w:pPr>
    </w:p>
    <w:p w14:paraId="287608B2" w14:textId="77777777" w:rsidR="00070561" w:rsidRDefault="00070561" w:rsidP="00070561">
      <w:pPr>
        <w:pStyle w:val="Footer"/>
        <w:rPr>
          <w:noProof w:val="0"/>
        </w:rPr>
      </w:pPr>
    </w:p>
    <w:p w14:paraId="533862E4" w14:textId="6FA43B5C"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91298">
        <w:rPr>
          <w:rFonts w:ascii="Arial" w:hAnsi="Arial"/>
          <w:sz w:val="24"/>
          <w:lang w:val="en-US"/>
        </w:rPr>
        <w:t>6.</w:t>
      </w:r>
      <w:r w:rsidR="00267B2F">
        <w:rPr>
          <w:rFonts w:ascii="Arial" w:hAnsi="Arial"/>
          <w:sz w:val="24"/>
          <w:lang w:val="en-US"/>
        </w:rPr>
        <w:t>17</w:t>
      </w:r>
      <w:r w:rsidR="00391298">
        <w:rPr>
          <w:rFonts w:ascii="Arial" w:hAnsi="Arial"/>
          <w:sz w:val="24"/>
          <w:lang w:val="en-US"/>
        </w:rPr>
        <w:t>.</w:t>
      </w:r>
      <w:r w:rsidR="00267B2F">
        <w:rPr>
          <w:rFonts w:ascii="Arial" w:hAnsi="Arial"/>
          <w:sz w:val="24"/>
          <w:lang w:val="en-US"/>
        </w:rPr>
        <w:t>4.</w:t>
      </w:r>
      <w:r w:rsidR="00391298">
        <w:rPr>
          <w:rFonts w:ascii="Arial" w:hAnsi="Arial"/>
          <w:sz w:val="24"/>
          <w:lang w:val="en-US"/>
        </w:rPr>
        <w:t>2</w:t>
      </w:r>
    </w:p>
    <w:p w14:paraId="35369C15"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0B0EAC4C" w14:textId="7D004FB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67B2F">
        <w:rPr>
          <w:rFonts w:ascii="Arial" w:hAnsi="Arial"/>
          <w:sz w:val="24"/>
          <w:lang w:val="en-US"/>
        </w:rPr>
        <w:t>On NSSS-based RRM measurement</w:t>
      </w:r>
      <w:r w:rsidR="007F640A">
        <w:rPr>
          <w:rFonts w:ascii="Arial" w:hAnsi="Arial"/>
          <w:sz w:val="24"/>
          <w:lang w:val="en-US"/>
        </w:rPr>
        <w:t xml:space="preserve"> </w:t>
      </w:r>
      <w:r w:rsidR="006A5D49">
        <w:rPr>
          <w:rFonts w:ascii="Arial" w:hAnsi="Arial"/>
          <w:sz w:val="24"/>
          <w:lang w:val="en-US"/>
        </w:rPr>
        <w:t xml:space="preserve"> </w:t>
      </w:r>
    </w:p>
    <w:p w14:paraId="4CF48AD8"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C7F52E3" w14:textId="77777777" w:rsidR="003A3520" w:rsidRDefault="009046D1" w:rsidP="00017422">
      <w:pPr>
        <w:pStyle w:val="Heading1"/>
        <w:rPr>
          <w:lang w:val="en-US"/>
        </w:rPr>
      </w:pPr>
      <w:r>
        <w:rPr>
          <w:lang w:val="en-US"/>
        </w:rPr>
        <w:t>Introduction</w:t>
      </w:r>
    </w:p>
    <w:p w14:paraId="1B9BC72D" w14:textId="6E4EC5AE" w:rsidR="009349F4" w:rsidRDefault="009349F4" w:rsidP="00884374">
      <w:pPr>
        <w:spacing w:after="0"/>
        <w:rPr>
          <w:lang w:val="en-US"/>
        </w:rPr>
      </w:pPr>
      <w:r>
        <w:rPr>
          <w:lang w:val="en-US"/>
        </w:rPr>
        <w:t xml:space="preserve">RAN4 </w:t>
      </w:r>
      <w:r w:rsidR="00267B2F">
        <w:rPr>
          <w:lang w:val="en-US"/>
        </w:rPr>
        <w:t>has been discussing the NSSS-based RRM measurement in the presence of NSSS transmit diversity</w:t>
      </w:r>
      <w:r w:rsidR="00EA3A28">
        <w:rPr>
          <w:lang w:val="en-US"/>
        </w:rPr>
        <w:t xml:space="preserve"> [1-4</w:t>
      </w:r>
      <w:proofErr w:type="gramStart"/>
      <w:r w:rsidR="00EA3A28">
        <w:rPr>
          <w:lang w:val="en-US"/>
        </w:rPr>
        <w:t>]</w:t>
      </w:r>
      <w:r w:rsidR="00B94D66">
        <w:rPr>
          <w:lang w:val="en-US"/>
        </w:rPr>
        <w:t>, but</w:t>
      </w:r>
      <w:proofErr w:type="gramEnd"/>
      <w:r w:rsidR="00B94D66">
        <w:rPr>
          <w:lang w:val="en-US"/>
        </w:rPr>
        <w:t xml:space="preserve"> was </w:t>
      </w:r>
      <w:r w:rsidR="00FF6D02">
        <w:rPr>
          <w:lang w:val="en-US"/>
        </w:rPr>
        <w:t>not able to reach consensus on the desirable solution yet.</w:t>
      </w:r>
    </w:p>
    <w:p w14:paraId="4234D4BA" w14:textId="77777777" w:rsidR="00DD0FFB" w:rsidRDefault="00DD0FFB" w:rsidP="00884374">
      <w:pPr>
        <w:spacing w:after="0"/>
        <w:rPr>
          <w:lang w:val="en-US"/>
        </w:rPr>
      </w:pPr>
    </w:p>
    <w:p w14:paraId="18E519F1" w14:textId="44CB66D7" w:rsidR="007F640A" w:rsidRDefault="00DC2BD7" w:rsidP="00884374">
      <w:pPr>
        <w:spacing w:after="0"/>
        <w:rPr>
          <w:lang w:val="en-US"/>
        </w:rPr>
      </w:pPr>
      <w:r>
        <w:rPr>
          <w:lang w:val="en-US"/>
        </w:rPr>
        <w:t>In t</w:t>
      </w:r>
      <w:r w:rsidR="007F640A">
        <w:rPr>
          <w:lang w:val="en-US"/>
        </w:rPr>
        <w:t>his paper</w:t>
      </w:r>
      <w:r>
        <w:rPr>
          <w:lang w:val="en-US"/>
        </w:rPr>
        <w:t>, we</w:t>
      </w:r>
      <w:r w:rsidR="00FF6D02">
        <w:rPr>
          <w:lang w:val="en-US"/>
        </w:rPr>
        <w:t xml:space="preserve"> provide further analysis on</w:t>
      </w:r>
      <w:r w:rsidR="00DD0FFB">
        <w:rPr>
          <w:lang w:val="en-US"/>
        </w:rPr>
        <w:t xml:space="preserve"> the </w:t>
      </w:r>
      <w:r w:rsidR="00FF6D02">
        <w:rPr>
          <w:lang w:val="en-US"/>
        </w:rPr>
        <w:t>main open issue of the impact of NSSS transmit diversity to NSSS-based RRM measurement and discuss a possible way-forward.</w:t>
      </w:r>
    </w:p>
    <w:p w14:paraId="2820F5D7" w14:textId="39963256" w:rsidR="007C61D6" w:rsidRDefault="00DD0FFB" w:rsidP="002B5E9D">
      <w:pPr>
        <w:pStyle w:val="Heading1"/>
        <w:rPr>
          <w:lang w:val="en-US"/>
        </w:rPr>
      </w:pPr>
      <w:r>
        <w:rPr>
          <w:lang w:val="en-US"/>
        </w:rPr>
        <w:t>Discussion</w:t>
      </w:r>
    </w:p>
    <w:p w14:paraId="61E896F2" w14:textId="56543BEB" w:rsidR="00EA3A28" w:rsidRDefault="00267B2F" w:rsidP="00267B2F">
      <w:r>
        <w:rPr>
          <w:lang w:val="en-US"/>
        </w:rPr>
        <w:t>NSSS can be beamformed using multiple antennas in order to provide a diversity gain for the improved cell acquisition performance.</w:t>
      </w:r>
      <w:r w:rsidR="003E74D7">
        <w:rPr>
          <w:lang w:val="en-US"/>
        </w:rPr>
        <w:t xml:space="preserve"> In the current NB-IoT design, UE can assume NSSS is transmitted using the same beamforming scheme within a single NSSS subframe, but </w:t>
      </w:r>
      <w:r w:rsidR="003E74D7" w:rsidRPr="007B4A84">
        <w:t xml:space="preserve">UE </w:t>
      </w:r>
      <w:r w:rsidR="003E74D7">
        <w:t>cann</w:t>
      </w:r>
      <w:r w:rsidR="003E74D7" w:rsidRPr="007B4A84">
        <w:t xml:space="preserve">ot assume that </w:t>
      </w:r>
      <w:r w:rsidR="003E74D7">
        <w:t>NSSS</w:t>
      </w:r>
      <w:r w:rsidR="003E74D7" w:rsidRPr="007B4A84">
        <w:t xml:space="preserve"> is transmitted on the same antenna port as any of the</w:t>
      </w:r>
      <w:r w:rsidR="003E74D7">
        <w:t xml:space="preserve"> other</w:t>
      </w:r>
      <w:r w:rsidR="003E74D7" w:rsidRPr="007B4A84">
        <w:t xml:space="preserve"> downlink reference signals</w:t>
      </w:r>
      <w:r w:rsidR="003E74D7">
        <w:t>, and also t</w:t>
      </w:r>
      <w:r w:rsidR="003E74D7" w:rsidRPr="007B4A84">
        <w:t xml:space="preserve">he UE </w:t>
      </w:r>
      <w:r w:rsidR="003E74D7">
        <w:t>cann</w:t>
      </w:r>
      <w:r w:rsidR="003E74D7" w:rsidRPr="007B4A84">
        <w:t xml:space="preserve">ot assume that </w:t>
      </w:r>
      <w:r w:rsidR="003E74D7">
        <w:t xml:space="preserve">the </w:t>
      </w:r>
      <w:r w:rsidR="003E74D7" w:rsidRPr="007B4A84">
        <w:t>transmission</w:t>
      </w:r>
      <w:r w:rsidR="003E74D7">
        <w:t>s</w:t>
      </w:r>
      <w:r w:rsidR="003E74D7" w:rsidRPr="007B4A84">
        <w:t xml:space="preserve"> of </w:t>
      </w:r>
      <w:r w:rsidR="003E74D7">
        <w:t>NSSS</w:t>
      </w:r>
      <w:r w:rsidR="003E74D7" w:rsidRPr="007B4A84">
        <w:t xml:space="preserve"> </w:t>
      </w:r>
      <w:r w:rsidR="003E74D7">
        <w:t xml:space="preserve">in a given subframe use </w:t>
      </w:r>
      <w:r w:rsidR="003E74D7" w:rsidRPr="007B4A84">
        <w:t>the same antenna port</w:t>
      </w:r>
      <w:r w:rsidR="003E74D7">
        <w:t>(s) or beamforming</w:t>
      </w:r>
      <w:r w:rsidR="003E74D7" w:rsidRPr="007B4A84">
        <w:t xml:space="preserve"> </w:t>
      </w:r>
      <w:r w:rsidR="003E74D7">
        <w:t xml:space="preserve">as </w:t>
      </w:r>
      <w:r w:rsidR="003E74D7" w:rsidRPr="007B4A84">
        <w:t xml:space="preserve">the </w:t>
      </w:r>
      <w:r w:rsidR="003E74D7">
        <w:t>NSSS transmitted in any other subframe</w:t>
      </w:r>
      <w:r w:rsidR="003E74D7" w:rsidRPr="007B4A84">
        <w:t>.</w:t>
      </w:r>
      <w:r w:rsidR="003E74D7">
        <w:t xml:space="preserve"> Such unpredictability of NSSS beamforming </w:t>
      </w:r>
      <w:r w:rsidR="008B7A40">
        <w:t>has led</w:t>
      </w:r>
      <w:r w:rsidR="003E74D7">
        <w:t xml:space="preserve"> to a few concerns</w:t>
      </w:r>
      <w:r w:rsidR="008B7A40">
        <w:t xml:space="preserve"> in RAN4</w:t>
      </w:r>
      <w:r w:rsidR="003E74D7">
        <w:t xml:space="preserve">. First, since the way NSSS is </w:t>
      </w:r>
      <w:r w:rsidR="00415E24">
        <w:t>beamformed</w:t>
      </w:r>
      <w:r w:rsidR="003E74D7">
        <w:t xml:space="preserve"> across different cells are not regulated, UE’s NSSS-based RSRP measurement from different cells may</w:t>
      </w:r>
      <w:r w:rsidR="008B7A40">
        <w:t xml:space="preserve"> be biased from one to another in an unknown way by the beamforming employed by individual cells</w:t>
      </w:r>
      <w:r w:rsidR="00EA3A28">
        <w:t xml:space="preserve"> [1]</w:t>
      </w:r>
      <w:r w:rsidR="008B7A40">
        <w:t>. Second, since the beamforming is blindly applied, a certain beamforming pattern may lead to overly pessimistic measurement when the NSSS transmitted from different transmit antennas are destructively combined at the UE receive antenna</w:t>
      </w:r>
      <w:r w:rsidR="00EA3A28">
        <w:t xml:space="preserve"> [2,3]</w:t>
      </w:r>
      <w:r w:rsidR="008B7A40">
        <w:t xml:space="preserve">. </w:t>
      </w:r>
      <w:r w:rsidR="00B258A9">
        <w:t xml:space="preserve">Observing these potential issues, </w:t>
      </w:r>
      <w:r w:rsidR="00EA3A28">
        <w:t>RAN4 has revised its agreement on the feasibility of NSSS-based measurement only when NSSS transmit diversity is not present, and agreed to further investigate the issue of the NSSS transmit diversity [4].</w:t>
      </w:r>
    </w:p>
    <w:p w14:paraId="6A740483" w14:textId="2ACCC7F3" w:rsidR="009A00C0" w:rsidRDefault="008B7A40" w:rsidP="00267B2F">
      <w:r>
        <w:t>Most of the RAN4 discussion on the NSSS transmit diversity was focus on the latter aspect</w:t>
      </w:r>
      <w:r w:rsidR="005C2562">
        <w:t>,</w:t>
      </w:r>
      <w:r>
        <w:t xml:space="preserve"> </w:t>
      </w:r>
      <w:r w:rsidR="00B94D66">
        <w:t xml:space="preserve">and with also </w:t>
      </w:r>
      <w:r>
        <w:t xml:space="preserve">assuming the beamforming pattern of </w:t>
      </w:r>
      <m:oMath>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oMath>
      <w:r w:rsidR="005C2562">
        <w:t xml:space="preserve">. </w:t>
      </w:r>
      <w:r w:rsidR="009A00C0">
        <w:t>However,</w:t>
      </w:r>
      <w:r w:rsidR="00334510">
        <w:t xml:space="preserve"> </w:t>
      </w:r>
      <w:r w:rsidR="009A00C0">
        <w:t xml:space="preserve">in our view, such pessimistic measurement that may be seen in a static channel </w:t>
      </w:r>
      <w:r w:rsidR="00D93A12">
        <w:t xml:space="preserve">could be easily averaged out </w:t>
      </w:r>
      <w:r w:rsidR="009A00C0">
        <w:t xml:space="preserve">in any practical channel </w:t>
      </w:r>
      <w:r w:rsidR="00D93A12">
        <w:t xml:space="preserve">in the course of </w:t>
      </w:r>
      <w:r w:rsidR="009A00C0">
        <w:t xml:space="preserve">UE’s L1 filtering and </w:t>
      </w:r>
      <w:r w:rsidR="00D93A12">
        <w:t>time-varying fading</w:t>
      </w:r>
      <w:r w:rsidR="009A00C0">
        <w:t xml:space="preserve">. Furthermore, depending on the specific beamforming eNB uses, such destructive combining may not </w:t>
      </w:r>
      <w:r w:rsidR="00B94D66">
        <w:t>even exist</w:t>
      </w:r>
      <w:r w:rsidR="009A00C0">
        <w:t xml:space="preserve"> at all. For example, when eNB employs a different beamforming pattern of {[1 0], [0 1]}</w:t>
      </w:r>
      <w:r w:rsidR="0000481C">
        <w:t xml:space="preserve">, it can provide the same diversity gain as </w:t>
      </w:r>
      <m:oMath>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oMath>
      <w:r w:rsidR="0000481C">
        <w:t>, and UE’s RSRP measurement in a particular NSSS subframe would solely reflect the actual path loss from one of the transmit antenna from the eNB without any destructive combining.</w:t>
      </w:r>
    </w:p>
    <w:p w14:paraId="07FDD768" w14:textId="16C482AA" w:rsidR="0000481C" w:rsidRPr="0000481C" w:rsidRDefault="0000481C" w:rsidP="0000481C">
      <w:pPr>
        <w:rPr>
          <w:b/>
          <w:i/>
        </w:rPr>
      </w:pPr>
      <w:r w:rsidRPr="0000481C">
        <w:rPr>
          <w:b/>
          <w:i/>
        </w:rPr>
        <w:t>Observation 1. Pessimistic RSRP measurement from destructive combining of NSSS transmitted from different transmit antenna observed in AWGN channel may easily be averaged out in any practical channel condition via L1 filtering and time-varying fading.</w:t>
      </w:r>
    </w:p>
    <w:p w14:paraId="18301762" w14:textId="52406041" w:rsidR="0000481C" w:rsidRPr="0000481C" w:rsidRDefault="0000481C" w:rsidP="00267B2F">
      <w:pPr>
        <w:rPr>
          <w:b/>
          <w:i/>
        </w:rPr>
      </w:pPr>
      <w:r w:rsidRPr="0000481C">
        <w:rPr>
          <w:b/>
          <w:i/>
        </w:rPr>
        <w:t xml:space="preserve">Observation 2. </w:t>
      </w:r>
      <w:r w:rsidR="00394CBF">
        <w:rPr>
          <w:b/>
          <w:i/>
        </w:rPr>
        <w:t>UE would not experience the pessimistic RSRP measurement from NSSS subframe at all even in a static channel w</w:t>
      </w:r>
      <w:r>
        <w:rPr>
          <w:b/>
          <w:i/>
        </w:rPr>
        <w:t xml:space="preserve">hen eNB chooses a transmit antenna selection as NSSS transmit diversity scheme, </w:t>
      </w:r>
      <w:r>
        <w:t>{[1 0], [0 1]}</w:t>
      </w:r>
      <w:r w:rsidR="00394CBF">
        <w:t>.</w:t>
      </w:r>
      <w:r>
        <w:t xml:space="preserve"> </w:t>
      </w:r>
    </w:p>
    <w:p w14:paraId="1EBE98E5" w14:textId="1B25ED78" w:rsidR="008B7A40" w:rsidRDefault="0000481C" w:rsidP="00267B2F">
      <w:r>
        <w:t>T</w:t>
      </w:r>
      <w:r w:rsidR="00334510">
        <w:t xml:space="preserve">here has been some </w:t>
      </w:r>
      <w:r w:rsidR="00D93A12">
        <w:t>proposal</w:t>
      </w:r>
      <w:r w:rsidR="00334510">
        <w:t xml:space="preserve"> to </w:t>
      </w:r>
      <w:r w:rsidR="00394CBF">
        <w:t>specify</w:t>
      </w:r>
      <w:r w:rsidR="00334510">
        <w:t xml:space="preserve"> the way eNB switches the NSSS beamforming pattern</w:t>
      </w:r>
      <w:r w:rsidR="00EA3A28">
        <w:t xml:space="preserve"> [2]</w:t>
      </w:r>
      <w:r w:rsidR="00334510">
        <w:t xml:space="preserve">, such as the same pattern repeating every 2 or 4 NSSS </w:t>
      </w:r>
      <w:proofErr w:type="gramStart"/>
      <w:r w:rsidR="00415E24">
        <w:t>subframes</w:t>
      </w:r>
      <w:r w:rsidR="00B94D66">
        <w:t xml:space="preserve">, </w:t>
      </w:r>
      <w:r w:rsidR="00415E24">
        <w:t>and</w:t>
      </w:r>
      <w:proofErr w:type="gramEnd"/>
      <w:r w:rsidR="00D93A12">
        <w:t xml:space="preserve"> inform the UE of such pattern to mitigate the occasional pessimistic measurement. However, </w:t>
      </w:r>
      <w:r w:rsidR="009A00C0">
        <w:t>without</w:t>
      </w:r>
      <w:r w:rsidR="00D93A12">
        <w:t xml:space="preserve"> further regula</w:t>
      </w:r>
      <w:r w:rsidR="009A00C0">
        <w:t>ting</w:t>
      </w:r>
      <w:r w:rsidR="00D93A12">
        <w:t xml:space="preserve"> the </w:t>
      </w:r>
      <w:r w:rsidR="009A00C0">
        <w:t>specific way</w:t>
      </w:r>
      <w:r w:rsidR="00D93A12">
        <w:t xml:space="preserve"> NSSS</w:t>
      </w:r>
      <w:r w:rsidR="009A00C0">
        <w:t xml:space="preserve"> is </w:t>
      </w:r>
      <w:r w:rsidR="00D93A12">
        <w:t>beamform</w:t>
      </w:r>
      <w:r w:rsidR="009A00C0">
        <w:t>ed</w:t>
      </w:r>
      <w:r w:rsidR="00D93A12">
        <w:t xml:space="preserve"> by eNB, such proposal impl</w:t>
      </w:r>
      <w:r w:rsidR="009A00C0">
        <w:t>ies</w:t>
      </w:r>
      <w:r w:rsidR="00D93A12">
        <w:t xml:space="preserve"> </w:t>
      </w:r>
      <w:r w:rsidR="009A00C0">
        <w:t xml:space="preserve">a </w:t>
      </w:r>
      <w:r w:rsidR="00D93A12">
        <w:t xml:space="preserve">more complicated and power inefficient UE operation to measure multiple consecutive NSSS subframes with different beamforming at every measurement occasion in order to average out the effect of the NSSS beamforming applied by eNB. </w:t>
      </w:r>
    </w:p>
    <w:p w14:paraId="47022194" w14:textId="0BB5C93E" w:rsidR="008B7A40" w:rsidRPr="00394CBF" w:rsidRDefault="009A00C0" w:rsidP="00267B2F">
      <w:pPr>
        <w:rPr>
          <w:b/>
          <w:i/>
        </w:rPr>
      </w:pPr>
      <w:r w:rsidRPr="00394CBF">
        <w:rPr>
          <w:b/>
          <w:i/>
        </w:rPr>
        <w:lastRenderedPageBreak/>
        <w:t xml:space="preserve">Observation </w:t>
      </w:r>
      <w:r w:rsidR="00394CBF" w:rsidRPr="00394CBF">
        <w:rPr>
          <w:b/>
          <w:i/>
        </w:rPr>
        <w:t>3</w:t>
      </w:r>
      <w:r w:rsidRPr="00394CBF">
        <w:rPr>
          <w:b/>
          <w:i/>
        </w:rPr>
        <w:t xml:space="preserve">. </w:t>
      </w:r>
      <w:r w:rsidR="00394CBF" w:rsidRPr="00394CBF">
        <w:rPr>
          <w:b/>
          <w:i/>
        </w:rPr>
        <w:t xml:space="preserve">Without further specifying the actual NSSS transmit diversity scheme, defining </w:t>
      </w:r>
      <w:r w:rsidR="00394CBF">
        <w:rPr>
          <w:b/>
          <w:i/>
        </w:rPr>
        <w:t>a</w:t>
      </w:r>
      <w:r w:rsidR="00394CBF" w:rsidRPr="00394CBF">
        <w:rPr>
          <w:b/>
          <w:i/>
        </w:rPr>
        <w:t xml:space="preserve"> deterministic NSSS transmit diversity pattern and informing such pattern to UE</w:t>
      </w:r>
      <w:r w:rsidR="00394CBF">
        <w:rPr>
          <w:b/>
          <w:i/>
        </w:rPr>
        <w:t xml:space="preserve"> cannot resolve the RSRP variation from NSSS transmit diversity unless UE is</w:t>
      </w:r>
      <w:r w:rsidR="00394CBF" w:rsidRPr="00394CBF">
        <w:rPr>
          <w:b/>
          <w:i/>
        </w:rPr>
        <w:t xml:space="preserve"> require</w:t>
      </w:r>
      <w:r w:rsidR="00394CBF">
        <w:rPr>
          <w:b/>
          <w:i/>
        </w:rPr>
        <w:t>d</w:t>
      </w:r>
      <w:r w:rsidR="00394CBF" w:rsidRPr="00394CBF">
        <w:rPr>
          <w:b/>
          <w:i/>
        </w:rPr>
        <w:t xml:space="preserve"> </w:t>
      </w:r>
      <w:r w:rsidR="00394CBF">
        <w:rPr>
          <w:b/>
          <w:i/>
        </w:rPr>
        <w:t xml:space="preserve">to perform </w:t>
      </w:r>
      <w:r w:rsidR="00394CBF" w:rsidRPr="00394CBF">
        <w:rPr>
          <w:b/>
          <w:i/>
        </w:rPr>
        <w:t>a more complicated</w:t>
      </w:r>
      <w:r w:rsidR="00394CBF">
        <w:rPr>
          <w:b/>
          <w:i/>
        </w:rPr>
        <w:t>/</w:t>
      </w:r>
      <w:r w:rsidR="00394CBF" w:rsidRPr="00394CBF">
        <w:rPr>
          <w:b/>
          <w:i/>
        </w:rPr>
        <w:t>power</w:t>
      </w:r>
      <w:r w:rsidR="00394CBF">
        <w:rPr>
          <w:b/>
          <w:i/>
        </w:rPr>
        <w:t>-</w:t>
      </w:r>
      <w:r w:rsidR="00394CBF" w:rsidRPr="00394CBF">
        <w:rPr>
          <w:b/>
          <w:i/>
        </w:rPr>
        <w:t xml:space="preserve">inefficient operation to measure multiple consecutive NSSS subframes </w:t>
      </w:r>
      <w:r w:rsidR="00394CBF">
        <w:rPr>
          <w:b/>
          <w:i/>
        </w:rPr>
        <w:t>at every measurement occasion</w:t>
      </w:r>
      <w:r w:rsidR="00394CBF" w:rsidRPr="00394CBF">
        <w:rPr>
          <w:b/>
          <w:i/>
        </w:rPr>
        <w:t xml:space="preserve"> to average out the effect of the NSSS </w:t>
      </w:r>
      <w:r w:rsidR="00394CBF">
        <w:rPr>
          <w:b/>
          <w:i/>
        </w:rPr>
        <w:t>beamforming.</w:t>
      </w:r>
    </w:p>
    <w:p w14:paraId="37142965" w14:textId="32E15C31" w:rsidR="00860B0B" w:rsidRDefault="00394CBF" w:rsidP="00C06864">
      <w:r>
        <w:t xml:space="preserve">Table 1 shows the measured channel from NRS-based or NSSS-based measurement and the corresponding minimum measurement duration that UE may need to stay awake to perform such </w:t>
      </w:r>
      <w:r w:rsidR="00415E24">
        <w:t>measurement</w:t>
      </w:r>
      <w:r w:rsidR="00860B0B">
        <w:t xml:space="preserve">. It can be clearly seen that scheme D that employs the antenna selection </w:t>
      </w:r>
      <w:r w:rsidR="00415E24">
        <w:t>diversity</w:t>
      </w:r>
      <w:r w:rsidR="00860B0B">
        <w:t xml:space="preserve"> for NSSS can </w:t>
      </w:r>
      <w:r w:rsidR="0096785B">
        <w:t xml:space="preserve">completely eliminate the concern </w:t>
      </w:r>
      <w:r w:rsidR="00B94D66">
        <w:t>about</w:t>
      </w:r>
      <w:r w:rsidR="0096785B">
        <w:t xml:space="preserve"> the possible pessimistic RSRP measurement without requiring undesirably complicated and power inefficient UE measurement operation to average out eNB’s NSSS beamforming while achieving the same diversity gain as the beamforming schemes used by Scheme C. </w:t>
      </w:r>
    </w:p>
    <w:p w14:paraId="01AB74AC" w14:textId="28681CEC" w:rsidR="00FF6D02" w:rsidRPr="00FF6D02" w:rsidRDefault="00FF6D02" w:rsidP="00FF6D02">
      <w:pPr>
        <w:rPr>
          <w:b/>
          <w:i/>
        </w:rPr>
      </w:pPr>
      <w:r w:rsidRPr="00FF6D02">
        <w:rPr>
          <w:b/>
          <w:i/>
        </w:rPr>
        <w:t>Observation 4. Transmit antenna selection as NSSS transmit diversity scheme can eliminate the concerns for the possible pessimistic RSRP measurement without requiring complicated and power inefficient UE measurement operation while achieving the same diversity gain</w:t>
      </w:r>
      <w:r>
        <w:rPr>
          <w:b/>
          <w:i/>
        </w:rPr>
        <w:t xml:space="preserve"> as other beamforming scheme.</w:t>
      </w:r>
    </w:p>
    <w:p w14:paraId="21A39729" w14:textId="204435D6" w:rsidR="00AA6389" w:rsidRPr="00394CBF" w:rsidRDefault="00AA6389" w:rsidP="00267B2F">
      <w:pPr>
        <w:rPr>
          <w:b/>
        </w:rPr>
      </w:pPr>
      <w:r w:rsidRPr="00394CBF">
        <w:rPr>
          <w:b/>
        </w:rPr>
        <w:t xml:space="preserve">Table 1. Measured channel and minimum measurement duration of different RSRP measurement scheme for a static 2Tx channel with channel coefficient of </w:t>
      </w:r>
      <m:oMath>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oMath>
      <w:r w:rsidRPr="00394CBF">
        <w:rPr>
          <w:b/>
        </w:rPr>
        <w:t xml:space="preserve"> and </w:t>
      </w:r>
      <m:oMath>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1</m:t>
            </m:r>
          </m:sub>
        </m:sSub>
      </m:oMath>
      <w:r w:rsidRPr="00394CBF">
        <w:rPr>
          <w:b/>
        </w:rPr>
        <w:t xml:space="preserve">. </w:t>
      </w:r>
    </w:p>
    <w:tbl>
      <w:tblPr>
        <w:tblW w:w="9477"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989"/>
        <w:gridCol w:w="949"/>
        <w:gridCol w:w="1333"/>
        <w:gridCol w:w="1440"/>
        <w:gridCol w:w="1849"/>
        <w:gridCol w:w="1539"/>
        <w:gridCol w:w="1378"/>
      </w:tblGrid>
      <w:tr w:rsidR="0096785B" w:rsidRPr="00625D0F" w14:paraId="00BF9C1B" w14:textId="1978FA1A" w:rsidTr="00EF1B80">
        <w:trPr>
          <w:trHeight w:val="351"/>
        </w:trPr>
        <w:tc>
          <w:tcPr>
            <w:tcW w:w="3271" w:type="dxa"/>
            <w:gridSpan w:val="3"/>
          </w:tcPr>
          <w:p w14:paraId="3BCEA9F7" w14:textId="685B9880" w:rsidR="0096785B" w:rsidRPr="00394CBF" w:rsidRDefault="0096785B" w:rsidP="00625D0F">
            <w:pPr>
              <w:rPr>
                <w:b/>
                <w:bCs/>
                <w:lang w:val="en-US"/>
              </w:rPr>
            </w:pPr>
            <w:r w:rsidRPr="00394CBF">
              <w:rPr>
                <w:b/>
                <w:bCs/>
                <w:lang w:val="en-US"/>
              </w:rPr>
              <w:t>Measurement scheme</w:t>
            </w:r>
            <w:r>
              <w:rPr>
                <w:b/>
                <w:bCs/>
                <w:lang w:val="en-US"/>
              </w:rPr>
              <w:t xml:space="preserve"> and measurement resource</w:t>
            </w:r>
          </w:p>
        </w:tc>
        <w:tc>
          <w:tcPr>
            <w:tcW w:w="1440" w:type="dxa"/>
          </w:tcPr>
          <w:p w14:paraId="71F832CD" w14:textId="0E781353" w:rsidR="0096785B" w:rsidRPr="00394CBF" w:rsidRDefault="0096785B" w:rsidP="00AA6389">
            <w:pPr>
              <w:jc w:val="center"/>
              <w:rPr>
                <w:b/>
                <w:bCs/>
                <w:lang w:val="en-US"/>
              </w:rPr>
            </w:pPr>
            <w:r>
              <w:rPr>
                <w:b/>
                <w:bCs/>
                <w:lang w:val="en-US"/>
              </w:rPr>
              <w:t>Beamforming</w:t>
            </w:r>
          </w:p>
        </w:tc>
        <w:tc>
          <w:tcPr>
            <w:tcW w:w="1849" w:type="dxa"/>
            <w:shd w:val="clear" w:color="auto" w:fill="auto"/>
            <w:tcMar>
              <w:top w:w="72" w:type="dxa"/>
              <w:left w:w="144" w:type="dxa"/>
              <w:bottom w:w="72" w:type="dxa"/>
              <w:right w:w="144" w:type="dxa"/>
            </w:tcMar>
          </w:tcPr>
          <w:p w14:paraId="025B39A8" w14:textId="4F2E1AF5" w:rsidR="0096785B" w:rsidRPr="00394CBF" w:rsidRDefault="0096785B" w:rsidP="00AA6389">
            <w:pPr>
              <w:jc w:val="center"/>
              <w:rPr>
                <w:b/>
                <w:bCs/>
                <w:lang w:val="en-US"/>
              </w:rPr>
            </w:pPr>
            <w:r w:rsidRPr="00394CBF">
              <w:rPr>
                <w:b/>
                <w:bCs/>
                <w:lang w:val="en-US"/>
              </w:rPr>
              <w:t xml:space="preserve">Measured channel </w:t>
            </w:r>
            <w:r>
              <w:rPr>
                <w:b/>
                <w:bCs/>
                <w:lang w:val="en-US"/>
              </w:rPr>
              <w:t>from</w:t>
            </w:r>
            <w:r w:rsidRPr="00394CBF">
              <w:rPr>
                <w:b/>
                <w:bCs/>
                <w:lang w:val="en-US"/>
              </w:rPr>
              <w:t xml:space="preserve"> one measurement occasion</w:t>
            </w:r>
          </w:p>
        </w:tc>
        <w:tc>
          <w:tcPr>
            <w:tcW w:w="1539" w:type="dxa"/>
            <w:shd w:val="clear" w:color="auto" w:fill="auto"/>
          </w:tcPr>
          <w:p w14:paraId="4D01CDB1" w14:textId="29142BF6" w:rsidR="0096785B" w:rsidRPr="00394CBF" w:rsidRDefault="0096785B" w:rsidP="00AA6389">
            <w:pPr>
              <w:jc w:val="center"/>
              <w:rPr>
                <w:b/>
                <w:bCs/>
                <w:lang w:val="en-US"/>
              </w:rPr>
            </w:pPr>
            <w:r w:rsidRPr="00394CBF">
              <w:rPr>
                <w:b/>
                <w:bCs/>
                <w:lang w:val="en-US"/>
              </w:rPr>
              <w:t>Minimum duration for one measurement occasion</w:t>
            </w:r>
          </w:p>
        </w:tc>
        <w:tc>
          <w:tcPr>
            <w:tcW w:w="1378" w:type="dxa"/>
          </w:tcPr>
          <w:p w14:paraId="511F7DE1" w14:textId="50A04EFA" w:rsidR="0096785B" w:rsidRPr="00394CBF" w:rsidRDefault="0096785B" w:rsidP="00AA6389">
            <w:pPr>
              <w:jc w:val="center"/>
              <w:rPr>
                <w:b/>
                <w:bCs/>
                <w:lang w:val="en-US"/>
              </w:rPr>
            </w:pPr>
            <w:r>
              <w:rPr>
                <w:b/>
                <w:bCs/>
                <w:lang w:val="en-US"/>
              </w:rPr>
              <w:t>Possible Pessimistic  RSRP measurement in one measurement occasion</w:t>
            </w:r>
          </w:p>
        </w:tc>
      </w:tr>
      <w:tr w:rsidR="0096785B" w:rsidRPr="00625D0F" w14:paraId="606624C5" w14:textId="402CF0B0" w:rsidTr="00EF1B80">
        <w:trPr>
          <w:trHeight w:val="351"/>
        </w:trPr>
        <w:tc>
          <w:tcPr>
            <w:tcW w:w="989" w:type="dxa"/>
            <w:vMerge w:val="restart"/>
            <w:shd w:val="clear" w:color="auto" w:fill="auto"/>
            <w:tcMar>
              <w:top w:w="72" w:type="dxa"/>
              <w:left w:w="144" w:type="dxa"/>
              <w:bottom w:w="72" w:type="dxa"/>
              <w:right w:w="144" w:type="dxa"/>
            </w:tcMar>
            <w:hideMark/>
          </w:tcPr>
          <w:p w14:paraId="4FDC095F" w14:textId="77777777" w:rsidR="0096785B" w:rsidRPr="00625D0F" w:rsidRDefault="0096785B" w:rsidP="00625D0F">
            <w:pPr>
              <w:rPr>
                <w:lang w:val="en-US"/>
              </w:rPr>
            </w:pPr>
            <w:r w:rsidRPr="00625D0F">
              <w:rPr>
                <w:bCs/>
                <w:lang w:val="en-US"/>
              </w:rPr>
              <w:t>NRS-based</w:t>
            </w:r>
          </w:p>
        </w:tc>
        <w:tc>
          <w:tcPr>
            <w:tcW w:w="2282" w:type="dxa"/>
            <w:gridSpan w:val="2"/>
          </w:tcPr>
          <w:p w14:paraId="47605714" w14:textId="33F43762" w:rsidR="0096785B" w:rsidRPr="00625D0F" w:rsidRDefault="0096785B" w:rsidP="00625D0F">
            <w:pPr>
              <w:rPr>
                <w:lang w:val="en-US"/>
              </w:rPr>
            </w:pPr>
            <w:r>
              <w:rPr>
                <w:bCs/>
                <w:lang w:val="en-US"/>
              </w:rPr>
              <w:t>Singe NRS subframe and s</w:t>
            </w:r>
            <w:r w:rsidRPr="00625D0F">
              <w:rPr>
                <w:bCs/>
                <w:lang w:val="en-US"/>
              </w:rPr>
              <w:t xml:space="preserve">ingle </w:t>
            </w:r>
            <w:r>
              <w:rPr>
                <w:bCs/>
                <w:lang w:val="en-US"/>
              </w:rPr>
              <w:t>p</w:t>
            </w:r>
            <w:r w:rsidRPr="00625D0F">
              <w:rPr>
                <w:bCs/>
                <w:lang w:val="en-US"/>
              </w:rPr>
              <w:t>ort</w:t>
            </w:r>
          </w:p>
        </w:tc>
        <w:tc>
          <w:tcPr>
            <w:tcW w:w="1440" w:type="dxa"/>
          </w:tcPr>
          <w:p w14:paraId="7E1C18DA" w14:textId="24861870" w:rsidR="0096785B" w:rsidRPr="00860B0B" w:rsidRDefault="0096785B" w:rsidP="0056694C">
            <w:pPr>
              <w:jc w:val="center"/>
              <w:rPr>
                <w:lang w:val="en-US"/>
              </w:rPr>
            </w:pPr>
            <w:r w:rsidRPr="00860B0B">
              <w:rPr>
                <w:lang w:val="en-US"/>
              </w:rPr>
              <w:t>N/A</w:t>
            </w:r>
          </w:p>
        </w:tc>
        <w:tc>
          <w:tcPr>
            <w:tcW w:w="1849" w:type="dxa"/>
            <w:shd w:val="clear" w:color="auto" w:fill="auto"/>
            <w:tcMar>
              <w:top w:w="72" w:type="dxa"/>
              <w:left w:w="144" w:type="dxa"/>
              <w:bottom w:w="72" w:type="dxa"/>
              <w:right w:w="144" w:type="dxa"/>
            </w:tcMar>
            <w:hideMark/>
          </w:tcPr>
          <w:p w14:paraId="55F984BD" w14:textId="59C1E286" w:rsidR="0096785B" w:rsidRPr="00625D0F" w:rsidRDefault="00EC6B53" w:rsidP="0056694C">
            <w:pPr>
              <w:jc w:val="center"/>
              <w:rPr>
                <w:lang w:val="en-US"/>
              </w:rPr>
            </w:pPr>
            <m:oMathPara>
              <m:oMath>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e>
                    </m:d>
                  </m:e>
                  <m:sup>
                    <m:r>
                      <w:rPr>
                        <w:rFonts w:ascii="Cambria Math" w:hAnsi="Cambria Math"/>
                        <w:lang w:val="en-US"/>
                      </w:rPr>
                      <m:t>2</m:t>
                    </m:r>
                  </m:sup>
                </m:sSup>
              </m:oMath>
            </m:oMathPara>
          </w:p>
        </w:tc>
        <w:tc>
          <w:tcPr>
            <w:tcW w:w="1539" w:type="dxa"/>
            <w:shd w:val="clear" w:color="auto" w:fill="auto"/>
          </w:tcPr>
          <w:p w14:paraId="0FCD3B75" w14:textId="76E3570C" w:rsidR="0096785B" w:rsidRPr="00625D0F" w:rsidRDefault="0096785B" w:rsidP="00936F7C">
            <w:pPr>
              <w:jc w:val="center"/>
              <w:rPr>
                <w:bCs/>
                <w:lang w:val="en-US"/>
              </w:rPr>
            </w:pPr>
            <w:r>
              <w:rPr>
                <w:bCs/>
                <w:lang w:val="en-US"/>
              </w:rPr>
              <w:t>1ms</w:t>
            </w:r>
          </w:p>
        </w:tc>
        <w:tc>
          <w:tcPr>
            <w:tcW w:w="1378" w:type="dxa"/>
          </w:tcPr>
          <w:p w14:paraId="171A6283" w14:textId="672F89D1" w:rsidR="0096785B" w:rsidRDefault="0096785B" w:rsidP="00936F7C">
            <w:pPr>
              <w:jc w:val="center"/>
              <w:rPr>
                <w:bCs/>
                <w:lang w:val="en-US"/>
              </w:rPr>
            </w:pPr>
            <w:r>
              <w:rPr>
                <w:bCs/>
                <w:lang w:val="en-US"/>
              </w:rPr>
              <w:t>No</w:t>
            </w:r>
          </w:p>
        </w:tc>
      </w:tr>
      <w:tr w:rsidR="0096785B" w:rsidRPr="00625D0F" w14:paraId="34984B3B" w14:textId="6A41F582" w:rsidTr="00EF1B80">
        <w:trPr>
          <w:trHeight w:val="351"/>
        </w:trPr>
        <w:tc>
          <w:tcPr>
            <w:tcW w:w="989" w:type="dxa"/>
            <w:vMerge/>
            <w:shd w:val="clear" w:color="auto" w:fill="auto"/>
            <w:vAlign w:val="center"/>
            <w:hideMark/>
          </w:tcPr>
          <w:p w14:paraId="499D78CD" w14:textId="77777777" w:rsidR="0096785B" w:rsidRPr="00625D0F" w:rsidRDefault="0096785B" w:rsidP="00625D0F">
            <w:pPr>
              <w:rPr>
                <w:lang w:val="en-US"/>
              </w:rPr>
            </w:pPr>
          </w:p>
        </w:tc>
        <w:tc>
          <w:tcPr>
            <w:tcW w:w="2282" w:type="dxa"/>
            <w:gridSpan w:val="2"/>
          </w:tcPr>
          <w:p w14:paraId="39302524" w14:textId="2875EFC1" w:rsidR="0096785B" w:rsidRPr="00625D0F" w:rsidRDefault="0096785B" w:rsidP="00625D0F">
            <w:pPr>
              <w:rPr>
                <w:lang w:val="en-US"/>
              </w:rPr>
            </w:pPr>
            <w:r>
              <w:rPr>
                <w:lang w:val="en-US"/>
              </w:rPr>
              <w:t>Single NRS subframe and t</w:t>
            </w:r>
            <w:r w:rsidRPr="00625D0F">
              <w:rPr>
                <w:lang w:val="en-US"/>
              </w:rPr>
              <w:t xml:space="preserve">wo </w:t>
            </w:r>
            <w:r>
              <w:rPr>
                <w:lang w:val="en-US"/>
              </w:rPr>
              <w:t>p</w:t>
            </w:r>
            <w:r w:rsidRPr="00625D0F">
              <w:rPr>
                <w:lang w:val="en-US"/>
              </w:rPr>
              <w:t>orts</w:t>
            </w:r>
          </w:p>
        </w:tc>
        <w:tc>
          <w:tcPr>
            <w:tcW w:w="1440" w:type="dxa"/>
          </w:tcPr>
          <w:p w14:paraId="68529A76" w14:textId="6814A596" w:rsidR="0096785B" w:rsidRPr="00860B0B" w:rsidRDefault="0096785B" w:rsidP="0056694C">
            <w:pPr>
              <w:jc w:val="center"/>
              <w:rPr>
                <w:lang w:val="en-US"/>
              </w:rPr>
            </w:pPr>
            <w:r w:rsidRPr="00860B0B">
              <w:rPr>
                <w:lang w:val="en-US"/>
              </w:rPr>
              <w:t>N/A</w:t>
            </w:r>
          </w:p>
        </w:tc>
        <w:tc>
          <w:tcPr>
            <w:tcW w:w="1849" w:type="dxa"/>
            <w:shd w:val="clear" w:color="auto" w:fill="auto"/>
            <w:tcMar>
              <w:top w:w="72" w:type="dxa"/>
              <w:left w:w="144" w:type="dxa"/>
              <w:bottom w:w="72" w:type="dxa"/>
              <w:right w:w="144" w:type="dxa"/>
            </w:tcMar>
            <w:hideMark/>
          </w:tcPr>
          <w:p w14:paraId="070DB9A9" w14:textId="16F24BCC" w:rsidR="0096785B" w:rsidRPr="00625D0F" w:rsidRDefault="00EC6B53" w:rsidP="0056694C">
            <w:pPr>
              <w:jc w:val="center"/>
              <w:rPr>
                <w:lang w:val="en-US"/>
              </w:rPr>
            </w:pPr>
            <m:oMathPara>
              <m:oMath>
                <m:f>
                  <m:fPr>
                    <m:ctrlPr>
                      <w:rPr>
                        <w:rFonts w:ascii="Cambria Math" w:hAnsi="Cambria Math"/>
                        <w:i/>
                        <w:lang w:val="en-US"/>
                      </w:rPr>
                    </m:ctrlPr>
                  </m:fPr>
                  <m:num>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m:t>
                                </m:r>
                              </m:sub>
                            </m:sSub>
                          </m:e>
                        </m:d>
                      </m:e>
                      <m:sup>
                        <m:r>
                          <w:rPr>
                            <w:rFonts w:ascii="Cambria Math" w:hAnsi="Cambria Math"/>
                            <w:lang w:val="en-US"/>
                          </w:rPr>
                          <m:t>2</m:t>
                        </m:r>
                      </m:sup>
                    </m:sSup>
                  </m:num>
                  <m:den>
                    <m:r>
                      <w:rPr>
                        <w:rFonts w:ascii="Cambria Math" w:hAnsi="Cambria Math"/>
                        <w:lang w:val="en-US"/>
                      </w:rPr>
                      <m:t>2</m:t>
                    </m:r>
                  </m:den>
                </m:f>
              </m:oMath>
            </m:oMathPara>
          </w:p>
        </w:tc>
        <w:tc>
          <w:tcPr>
            <w:tcW w:w="1539" w:type="dxa"/>
            <w:shd w:val="clear" w:color="auto" w:fill="auto"/>
          </w:tcPr>
          <w:p w14:paraId="663D12DA" w14:textId="3B622707" w:rsidR="0096785B" w:rsidRPr="00625D0F" w:rsidRDefault="0096785B" w:rsidP="00936F7C">
            <w:pPr>
              <w:jc w:val="center"/>
              <w:rPr>
                <w:lang w:val="en-US"/>
              </w:rPr>
            </w:pPr>
            <w:r>
              <w:rPr>
                <w:lang w:val="en-US"/>
              </w:rPr>
              <w:t>1ms</w:t>
            </w:r>
          </w:p>
        </w:tc>
        <w:tc>
          <w:tcPr>
            <w:tcW w:w="1378" w:type="dxa"/>
          </w:tcPr>
          <w:p w14:paraId="7F7465B9" w14:textId="5CCFF835" w:rsidR="0096785B" w:rsidRDefault="0096785B" w:rsidP="00936F7C">
            <w:pPr>
              <w:jc w:val="center"/>
              <w:rPr>
                <w:lang w:val="en-US"/>
              </w:rPr>
            </w:pPr>
            <w:r>
              <w:rPr>
                <w:lang w:val="en-US"/>
              </w:rPr>
              <w:t>No</w:t>
            </w:r>
          </w:p>
        </w:tc>
      </w:tr>
      <w:tr w:rsidR="0096785B" w:rsidRPr="00625D0F" w14:paraId="613D3122" w14:textId="2F6F60D2" w:rsidTr="00EF1B80">
        <w:trPr>
          <w:trHeight w:val="351"/>
        </w:trPr>
        <w:tc>
          <w:tcPr>
            <w:tcW w:w="989" w:type="dxa"/>
            <w:vMerge w:val="restart"/>
            <w:shd w:val="clear" w:color="auto" w:fill="auto"/>
            <w:tcMar>
              <w:top w:w="72" w:type="dxa"/>
              <w:left w:w="144" w:type="dxa"/>
              <w:bottom w:w="72" w:type="dxa"/>
              <w:right w:w="144" w:type="dxa"/>
            </w:tcMar>
          </w:tcPr>
          <w:p w14:paraId="73B510B6" w14:textId="42AC1954" w:rsidR="0096785B" w:rsidRPr="00625D0F" w:rsidRDefault="0096785B" w:rsidP="00625D0F">
            <w:pPr>
              <w:rPr>
                <w:lang w:val="en-US"/>
              </w:rPr>
            </w:pPr>
            <w:r w:rsidRPr="00625D0F">
              <w:rPr>
                <w:lang w:val="en-US"/>
              </w:rPr>
              <w:t>NSSS-based</w:t>
            </w:r>
          </w:p>
        </w:tc>
        <w:tc>
          <w:tcPr>
            <w:tcW w:w="949" w:type="dxa"/>
          </w:tcPr>
          <w:p w14:paraId="3EE711D5" w14:textId="3CF715D9" w:rsidR="0096785B" w:rsidRDefault="0096785B" w:rsidP="00625D0F">
            <w:pPr>
              <w:rPr>
                <w:lang w:val="en-US"/>
              </w:rPr>
            </w:pPr>
            <w:r>
              <w:rPr>
                <w:lang w:val="en-US"/>
              </w:rPr>
              <w:t>Scheme A</w:t>
            </w:r>
          </w:p>
        </w:tc>
        <w:tc>
          <w:tcPr>
            <w:tcW w:w="1333" w:type="dxa"/>
            <w:shd w:val="clear" w:color="auto" w:fill="auto"/>
            <w:tcMar>
              <w:top w:w="72" w:type="dxa"/>
              <w:left w:w="144" w:type="dxa"/>
              <w:bottom w:w="72" w:type="dxa"/>
              <w:right w:w="144" w:type="dxa"/>
            </w:tcMar>
          </w:tcPr>
          <w:p w14:paraId="044EF9A0" w14:textId="506E9F6E" w:rsidR="0096785B" w:rsidRPr="00625D0F" w:rsidRDefault="0096785B" w:rsidP="00625D0F">
            <w:pPr>
              <w:rPr>
                <w:lang w:val="en-US"/>
              </w:rPr>
            </w:pPr>
            <w:r>
              <w:rPr>
                <w:lang w:val="en-US"/>
              </w:rPr>
              <w:t xml:space="preserve">Singe NSSS subframe </w:t>
            </w:r>
          </w:p>
        </w:tc>
        <w:tc>
          <w:tcPr>
            <w:tcW w:w="1440" w:type="dxa"/>
          </w:tcPr>
          <w:p w14:paraId="7C408EE7" w14:textId="22DBAA99" w:rsidR="0096785B" w:rsidRDefault="0096785B" w:rsidP="0056694C">
            <w:pPr>
              <w:jc w:val="center"/>
              <w:rPr>
                <w:lang w:val="en-US"/>
              </w:rPr>
            </w:pPr>
            <w:r>
              <w:rPr>
                <w:lang w:val="en-US"/>
              </w:rPr>
              <w:t>Disabled</w:t>
            </w:r>
          </w:p>
        </w:tc>
        <w:tc>
          <w:tcPr>
            <w:tcW w:w="1849" w:type="dxa"/>
            <w:shd w:val="clear" w:color="auto" w:fill="auto"/>
            <w:tcMar>
              <w:top w:w="72" w:type="dxa"/>
              <w:left w:w="144" w:type="dxa"/>
              <w:bottom w:w="72" w:type="dxa"/>
              <w:right w:w="144" w:type="dxa"/>
            </w:tcMar>
          </w:tcPr>
          <w:p w14:paraId="64CB2AFE" w14:textId="6A0C7DBC" w:rsidR="0096785B" w:rsidRPr="00625D0F" w:rsidRDefault="00EC6B53" w:rsidP="0056694C">
            <w:pPr>
              <w:jc w:val="center"/>
              <w:rPr>
                <w:lang w:val="en-US"/>
              </w:rPr>
            </w:pPr>
            <m:oMathPara>
              <m:oMath>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e>
                    </m:d>
                  </m:e>
                  <m:sup>
                    <m:r>
                      <w:rPr>
                        <w:rFonts w:ascii="Cambria Math" w:hAnsi="Cambria Math"/>
                        <w:lang w:val="en-US"/>
                      </w:rPr>
                      <m:t>2</m:t>
                    </m:r>
                  </m:sup>
                </m:sSup>
              </m:oMath>
            </m:oMathPara>
          </w:p>
        </w:tc>
        <w:tc>
          <w:tcPr>
            <w:tcW w:w="1539" w:type="dxa"/>
            <w:shd w:val="clear" w:color="auto" w:fill="auto"/>
          </w:tcPr>
          <w:p w14:paraId="06F4598C" w14:textId="2D86E107" w:rsidR="0096785B" w:rsidRPr="00625D0F" w:rsidRDefault="0096785B" w:rsidP="00936F7C">
            <w:pPr>
              <w:jc w:val="center"/>
              <w:rPr>
                <w:bCs/>
                <w:lang w:val="en-US"/>
              </w:rPr>
            </w:pPr>
            <w:r>
              <w:rPr>
                <w:bCs/>
                <w:lang w:val="en-US"/>
              </w:rPr>
              <w:t>1ms</w:t>
            </w:r>
          </w:p>
        </w:tc>
        <w:tc>
          <w:tcPr>
            <w:tcW w:w="1378" w:type="dxa"/>
          </w:tcPr>
          <w:p w14:paraId="5EE22072" w14:textId="7DAE0D03" w:rsidR="0096785B" w:rsidRDefault="0096785B" w:rsidP="00936F7C">
            <w:pPr>
              <w:jc w:val="center"/>
              <w:rPr>
                <w:bCs/>
                <w:lang w:val="en-US"/>
              </w:rPr>
            </w:pPr>
            <w:r>
              <w:rPr>
                <w:bCs/>
                <w:lang w:val="en-US"/>
              </w:rPr>
              <w:t>No</w:t>
            </w:r>
          </w:p>
        </w:tc>
      </w:tr>
      <w:tr w:rsidR="0096785B" w:rsidRPr="00625D0F" w14:paraId="72E05F66" w14:textId="24038C2F" w:rsidTr="00EF1B80">
        <w:trPr>
          <w:trHeight w:val="910"/>
        </w:trPr>
        <w:tc>
          <w:tcPr>
            <w:tcW w:w="989" w:type="dxa"/>
            <w:vMerge/>
            <w:shd w:val="clear" w:color="auto" w:fill="auto"/>
            <w:tcMar>
              <w:top w:w="72" w:type="dxa"/>
              <w:left w:w="144" w:type="dxa"/>
              <w:bottom w:w="72" w:type="dxa"/>
              <w:right w:w="144" w:type="dxa"/>
            </w:tcMar>
            <w:hideMark/>
          </w:tcPr>
          <w:p w14:paraId="518AF12C" w14:textId="362EF650" w:rsidR="0096785B" w:rsidRPr="00625D0F" w:rsidRDefault="0096785B" w:rsidP="00625D0F">
            <w:pPr>
              <w:rPr>
                <w:lang w:val="en-US"/>
              </w:rPr>
            </w:pPr>
          </w:p>
        </w:tc>
        <w:tc>
          <w:tcPr>
            <w:tcW w:w="949" w:type="dxa"/>
          </w:tcPr>
          <w:p w14:paraId="48F4E700" w14:textId="2E932551" w:rsidR="0096785B" w:rsidRDefault="0096785B" w:rsidP="00625D0F">
            <w:pPr>
              <w:rPr>
                <w:lang w:val="en-US"/>
              </w:rPr>
            </w:pPr>
            <w:r>
              <w:rPr>
                <w:lang w:val="en-US"/>
              </w:rPr>
              <w:t>Scheme B</w:t>
            </w:r>
          </w:p>
        </w:tc>
        <w:tc>
          <w:tcPr>
            <w:tcW w:w="1333" w:type="dxa"/>
            <w:shd w:val="clear" w:color="auto" w:fill="auto"/>
            <w:tcMar>
              <w:top w:w="72" w:type="dxa"/>
              <w:left w:w="144" w:type="dxa"/>
              <w:bottom w:w="72" w:type="dxa"/>
              <w:right w:w="144" w:type="dxa"/>
            </w:tcMar>
            <w:hideMark/>
          </w:tcPr>
          <w:p w14:paraId="6EA8FC5D" w14:textId="41A3EE2C" w:rsidR="0096785B" w:rsidRDefault="0096785B" w:rsidP="00625D0F">
            <w:pPr>
              <w:rPr>
                <w:lang w:val="en-US"/>
              </w:rPr>
            </w:pPr>
            <w:r>
              <w:rPr>
                <w:lang w:val="en-US"/>
              </w:rPr>
              <w:t>Singe NSSS subframe</w:t>
            </w:r>
          </w:p>
          <w:p w14:paraId="5A52FD8C" w14:textId="7807C0A1" w:rsidR="0096785B" w:rsidRPr="00625D0F" w:rsidRDefault="0096785B" w:rsidP="00625D0F">
            <w:pPr>
              <w:rPr>
                <w:lang w:val="en-US"/>
              </w:rPr>
            </w:pPr>
          </w:p>
        </w:tc>
        <w:tc>
          <w:tcPr>
            <w:tcW w:w="1440" w:type="dxa"/>
          </w:tcPr>
          <w:p w14:paraId="35350825" w14:textId="23BCEB19" w:rsidR="0096785B" w:rsidRPr="0056694C" w:rsidRDefault="0096785B" w:rsidP="0056694C">
            <w:pPr>
              <w:jc w:val="center"/>
              <w:rPr>
                <w:sz w:val="28"/>
                <w:szCs w:val="28"/>
                <w:lang w:val="en-US"/>
              </w:rPr>
            </w:pPr>
            <w:r w:rsidRPr="00625D0F">
              <w:rPr>
                <w:lang w:val="en-US"/>
              </w:rPr>
              <w:t>[+1 ±1]/sqrt(2)</w:t>
            </w:r>
          </w:p>
        </w:tc>
        <w:tc>
          <w:tcPr>
            <w:tcW w:w="1849" w:type="dxa"/>
            <w:shd w:val="clear" w:color="auto" w:fill="auto"/>
            <w:tcMar>
              <w:top w:w="72" w:type="dxa"/>
              <w:left w:w="144" w:type="dxa"/>
              <w:bottom w:w="72" w:type="dxa"/>
              <w:right w:w="144" w:type="dxa"/>
            </w:tcMar>
            <w:hideMark/>
          </w:tcPr>
          <w:p w14:paraId="3CD5D886" w14:textId="664A6D7D" w:rsidR="0096785B" w:rsidRPr="0056694C" w:rsidRDefault="00EC6B53" w:rsidP="0056694C">
            <w:pPr>
              <w:jc w:val="center"/>
              <w:rPr>
                <w:sz w:val="28"/>
                <w:szCs w:val="28"/>
                <w:lang w:val="en-US"/>
              </w:rPr>
            </w:pPr>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1</m:t>
                              </m:r>
                            </m:sub>
                          </m:sSub>
                        </m:e>
                      </m:d>
                    </m:e>
                    <m:sup>
                      <m:r>
                        <w:rPr>
                          <w:rFonts w:ascii="Cambria Math" w:hAnsi="Cambria Math"/>
                          <w:sz w:val="28"/>
                          <w:szCs w:val="28"/>
                          <w:lang w:val="en-US"/>
                        </w:rPr>
                        <m:t>2</m:t>
                      </m:r>
                    </m:sup>
                  </m:sSup>
                </m:num>
                <m:den>
                  <m:r>
                    <w:rPr>
                      <w:rFonts w:ascii="Cambria Math" w:hAnsi="Cambria Math"/>
                      <w:sz w:val="28"/>
                      <w:szCs w:val="28"/>
                      <w:lang w:val="en-US"/>
                    </w:rPr>
                    <m:t>2</m:t>
                  </m:r>
                </m:den>
              </m:f>
            </m:oMath>
            <w:r w:rsidR="0096785B" w:rsidRPr="0056694C">
              <w:rPr>
                <w:sz w:val="28"/>
                <w:szCs w:val="28"/>
                <w:lang w:val="en-US"/>
              </w:rPr>
              <w:t xml:space="preserve">  </w:t>
            </w:r>
            <w:r w:rsidR="0096785B" w:rsidRPr="0056694C">
              <w:rPr>
                <w:lang w:val="en-US"/>
              </w:rPr>
              <w:t>or</w:t>
            </w:r>
            <w:r w:rsidR="0096785B" w:rsidRPr="0056694C">
              <w:rPr>
                <w:sz w:val="28"/>
                <w:szCs w:val="28"/>
                <w:lang w:val="en-US"/>
              </w:rPr>
              <w:t xml:space="preserve">  </w:t>
            </w:r>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1</m:t>
                              </m:r>
                            </m:sub>
                          </m:sSub>
                        </m:e>
                      </m:d>
                    </m:e>
                    <m:sup>
                      <m:r>
                        <w:rPr>
                          <w:rFonts w:ascii="Cambria Math" w:hAnsi="Cambria Math"/>
                          <w:sz w:val="28"/>
                          <w:szCs w:val="28"/>
                          <w:lang w:val="en-US"/>
                        </w:rPr>
                        <m:t>2</m:t>
                      </m:r>
                    </m:sup>
                  </m:sSup>
                </m:num>
                <m:den>
                  <m:r>
                    <w:rPr>
                      <w:rFonts w:ascii="Cambria Math" w:hAnsi="Cambria Math"/>
                      <w:sz w:val="28"/>
                      <w:szCs w:val="28"/>
                      <w:lang w:val="en-US"/>
                    </w:rPr>
                    <m:t>2</m:t>
                  </m:r>
                </m:den>
              </m:f>
            </m:oMath>
            <w:r w:rsidR="0096785B">
              <w:rPr>
                <w:sz w:val="28"/>
                <w:szCs w:val="28"/>
                <w:lang w:val="en-US"/>
              </w:rPr>
              <w:t xml:space="preserve"> </w:t>
            </w:r>
            <w:r w:rsidR="0096785B" w:rsidRPr="00936F7C">
              <w:rPr>
                <w:vertAlign w:val="superscript"/>
                <w:lang w:val="en-US"/>
              </w:rPr>
              <w:t>Note 1</w:t>
            </w:r>
            <w:r w:rsidR="00B94D66">
              <w:rPr>
                <w:vertAlign w:val="superscript"/>
                <w:lang w:val="en-US"/>
              </w:rPr>
              <w:t xml:space="preserve">, </w:t>
            </w:r>
            <w:r w:rsidR="00B94D66" w:rsidRPr="00936F7C">
              <w:rPr>
                <w:vertAlign w:val="superscript"/>
                <w:lang w:val="en-US"/>
              </w:rPr>
              <w:t xml:space="preserve">Note </w:t>
            </w:r>
            <w:r w:rsidR="00B94D66">
              <w:rPr>
                <w:vertAlign w:val="superscript"/>
                <w:lang w:val="en-US"/>
              </w:rPr>
              <w:t>4</w:t>
            </w:r>
          </w:p>
        </w:tc>
        <w:tc>
          <w:tcPr>
            <w:tcW w:w="1539" w:type="dxa"/>
            <w:shd w:val="clear" w:color="auto" w:fill="auto"/>
          </w:tcPr>
          <w:p w14:paraId="3AA735AC" w14:textId="749CD990" w:rsidR="0096785B" w:rsidRPr="00625D0F" w:rsidRDefault="0096785B" w:rsidP="00936F7C">
            <w:pPr>
              <w:jc w:val="center"/>
              <w:rPr>
                <w:lang w:val="en-US"/>
              </w:rPr>
            </w:pPr>
            <w:r>
              <w:rPr>
                <w:lang w:val="en-US"/>
              </w:rPr>
              <w:t>1ms</w:t>
            </w:r>
          </w:p>
        </w:tc>
        <w:tc>
          <w:tcPr>
            <w:tcW w:w="1378" w:type="dxa"/>
          </w:tcPr>
          <w:p w14:paraId="3725A797" w14:textId="7C27D579" w:rsidR="0096785B" w:rsidRDefault="0096785B" w:rsidP="00936F7C">
            <w:pPr>
              <w:jc w:val="center"/>
              <w:rPr>
                <w:lang w:val="en-US"/>
              </w:rPr>
            </w:pPr>
            <w:r>
              <w:rPr>
                <w:lang w:val="en-US"/>
              </w:rPr>
              <w:t>Yes</w:t>
            </w:r>
          </w:p>
        </w:tc>
      </w:tr>
      <w:tr w:rsidR="0096785B" w:rsidRPr="00625D0F" w14:paraId="1B24063A" w14:textId="3A9B0E64" w:rsidTr="00EF1B80">
        <w:trPr>
          <w:trHeight w:val="351"/>
        </w:trPr>
        <w:tc>
          <w:tcPr>
            <w:tcW w:w="989" w:type="dxa"/>
            <w:vMerge/>
            <w:shd w:val="clear" w:color="auto" w:fill="auto"/>
            <w:vAlign w:val="center"/>
            <w:hideMark/>
          </w:tcPr>
          <w:p w14:paraId="24B8BA47" w14:textId="77777777" w:rsidR="0096785B" w:rsidRPr="00625D0F" w:rsidRDefault="0096785B" w:rsidP="00625D0F">
            <w:pPr>
              <w:rPr>
                <w:lang w:val="en-US"/>
              </w:rPr>
            </w:pPr>
          </w:p>
        </w:tc>
        <w:tc>
          <w:tcPr>
            <w:tcW w:w="949" w:type="dxa"/>
          </w:tcPr>
          <w:p w14:paraId="45ABCBBF" w14:textId="24D0B7D7" w:rsidR="0096785B" w:rsidRDefault="0096785B" w:rsidP="00625D0F">
            <w:pPr>
              <w:rPr>
                <w:lang w:val="en-US"/>
              </w:rPr>
            </w:pPr>
            <w:r>
              <w:rPr>
                <w:lang w:val="en-US"/>
              </w:rPr>
              <w:t>Scheme C</w:t>
            </w:r>
          </w:p>
        </w:tc>
        <w:tc>
          <w:tcPr>
            <w:tcW w:w="1333" w:type="dxa"/>
            <w:shd w:val="clear" w:color="auto" w:fill="auto"/>
            <w:tcMar>
              <w:top w:w="72" w:type="dxa"/>
              <w:left w:w="144" w:type="dxa"/>
              <w:bottom w:w="72" w:type="dxa"/>
              <w:right w:w="144" w:type="dxa"/>
            </w:tcMar>
            <w:hideMark/>
          </w:tcPr>
          <w:p w14:paraId="1BFB4441" w14:textId="764EBCBE" w:rsidR="0096785B" w:rsidRDefault="0096785B" w:rsidP="00625D0F">
            <w:pPr>
              <w:rPr>
                <w:lang w:val="en-US"/>
              </w:rPr>
            </w:pPr>
            <w:r>
              <w:rPr>
                <w:lang w:val="en-US"/>
              </w:rPr>
              <w:t xml:space="preserve">Two </w:t>
            </w:r>
            <w:r w:rsidRPr="00625D0F">
              <w:rPr>
                <w:lang w:val="en-US"/>
              </w:rPr>
              <w:t>consecutive NSSS subframe</w:t>
            </w:r>
            <w:r>
              <w:rPr>
                <w:lang w:val="en-US"/>
              </w:rPr>
              <w:t xml:space="preserve"> pair</w:t>
            </w:r>
          </w:p>
          <w:p w14:paraId="5DCEF0C3" w14:textId="06A4B6DC" w:rsidR="0096785B" w:rsidRPr="00625D0F" w:rsidRDefault="0096785B" w:rsidP="00625D0F">
            <w:pPr>
              <w:rPr>
                <w:lang w:val="en-US"/>
              </w:rPr>
            </w:pPr>
          </w:p>
        </w:tc>
        <w:tc>
          <w:tcPr>
            <w:tcW w:w="1440" w:type="dxa"/>
          </w:tcPr>
          <w:p w14:paraId="1277A783" w14:textId="2193D4A2" w:rsidR="0096785B" w:rsidRPr="00936F7C" w:rsidRDefault="0096785B" w:rsidP="0056694C">
            <w:pPr>
              <w:jc w:val="center"/>
              <w:rPr>
                <w:sz w:val="28"/>
                <w:szCs w:val="28"/>
                <w:lang w:val="en-US"/>
              </w:rPr>
            </w:pPr>
            <w:r w:rsidRPr="00625D0F">
              <w:rPr>
                <w:lang w:val="en-US"/>
              </w:rPr>
              <w:t>[+1 ±1]/sqrt(2)</w:t>
            </w:r>
          </w:p>
        </w:tc>
        <w:tc>
          <w:tcPr>
            <w:tcW w:w="1849" w:type="dxa"/>
            <w:shd w:val="clear" w:color="auto" w:fill="auto"/>
            <w:tcMar>
              <w:top w:w="72" w:type="dxa"/>
              <w:left w:w="144" w:type="dxa"/>
              <w:bottom w:w="72" w:type="dxa"/>
              <w:right w:w="144" w:type="dxa"/>
            </w:tcMar>
            <w:hideMark/>
          </w:tcPr>
          <w:p w14:paraId="44D74294" w14:textId="4E8654FF" w:rsidR="0096785B" w:rsidRDefault="00EC6B53" w:rsidP="0056694C">
            <w:pPr>
              <w:jc w:val="center"/>
              <w:rPr>
                <w:lang w:val="en-US"/>
              </w:rPr>
            </w:pPr>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0</m:t>
                              </m:r>
                            </m:sub>
                          </m:sSub>
                        </m:e>
                      </m:d>
                    </m:e>
                    <m:sup>
                      <m:r>
                        <w:rPr>
                          <w:rFonts w:ascii="Cambria Math" w:hAnsi="Cambria Math"/>
                          <w:sz w:val="28"/>
                          <w:szCs w:val="28"/>
                          <w:lang w:val="en-US"/>
                        </w:rPr>
                        <m:t>2</m:t>
                      </m:r>
                    </m:sup>
                  </m:sSup>
                  <m:r>
                    <w:rPr>
                      <w:rFonts w:ascii="Cambria Math" w:hAnsi="Cambria Math"/>
                      <w:sz w:val="28"/>
                      <w:szCs w:val="28"/>
                      <w:lang w:val="en-US"/>
                    </w:rPr>
                    <m:t>+</m:t>
                  </m:r>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1</m:t>
                              </m:r>
                            </m:sub>
                          </m:sSub>
                        </m:e>
                      </m:d>
                    </m:e>
                    <m:sup>
                      <m:r>
                        <w:rPr>
                          <w:rFonts w:ascii="Cambria Math" w:hAnsi="Cambria Math"/>
                          <w:sz w:val="28"/>
                          <w:szCs w:val="28"/>
                          <w:lang w:val="en-US"/>
                        </w:rPr>
                        <m:t>2</m:t>
                      </m:r>
                    </m:sup>
                  </m:sSup>
                </m:num>
                <m:den>
                  <m:r>
                    <w:rPr>
                      <w:rFonts w:ascii="Cambria Math" w:hAnsi="Cambria Math"/>
                      <w:sz w:val="28"/>
                      <w:szCs w:val="28"/>
                      <w:lang w:val="en-US"/>
                    </w:rPr>
                    <m:t>2</m:t>
                  </m:r>
                </m:den>
              </m:f>
            </m:oMath>
            <w:r w:rsidR="0096785B">
              <w:rPr>
                <w:lang w:val="en-US"/>
              </w:rPr>
              <w:t xml:space="preserve">  </w:t>
            </w:r>
            <w:r w:rsidR="0096785B" w:rsidRPr="00936F7C">
              <w:rPr>
                <w:vertAlign w:val="superscript"/>
                <w:lang w:val="en-US"/>
              </w:rPr>
              <w:t xml:space="preserve">Note </w:t>
            </w:r>
            <w:r w:rsidR="0096785B">
              <w:rPr>
                <w:vertAlign w:val="superscript"/>
                <w:lang w:val="en-US"/>
              </w:rPr>
              <w:t>2</w:t>
            </w:r>
          </w:p>
          <w:p w14:paraId="367E021E" w14:textId="125816D2" w:rsidR="0096785B" w:rsidRPr="00625D0F" w:rsidRDefault="0096785B" w:rsidP="0056694C">
            <w:pPr>
              <w:jc w:val="center"/>
              <w:rPr>
                <w:lang w:val="en-US"/>
              </w:rPr>
            </w:pPr>
          </w:p>
        </w:tc>
        <w:tc>
          <w:tcPr>
            <w:tcW w:w="1539" w:type="dxa"/>
            <w:shd w:val="clear" w:color="auto" w:fill="auto"/>
          </w:tcPr>
          <w:p w14:paraId="3B7C5F28" w14:textId="6DA4E8E5" w:rsidR="0096785B" w:rsidRPr="00625D0F" w:rsidRDefault="0096785B" w:rsidP="00936F7C">
            <w:pPr>
              <w:jc w:val="center"/>
              <w:rPr>
                <w:lang w:val="en-US"/>
              </w:rPr>
            </w:pPr>
            <w:r>
              <w:rPr>
                <w:lang w:val="en-US"/>
              </w:rPr>
              <w:t xml:space="preserve">20ms </w:t>
            </w:r>
            <w:r w:rsidRPr="00936F7C">
              <w:rPr>
                <w:vertAlign w:val="superscript"/>
                <w:lang w:val="en-US"/>
              </w:rPr>
              <w:t xml:space="preserve">Note </w:t>
            </w:r>
            <w:r>
              <w:rPr>
                <w:vertAlign w:val="superscript"/>
                <w:lang w:val="en-US"/>
              </w:rPr>
              <w:t>3</w:t>
            </w:r>
          </w:p>
        </w:tc>
        <w:tc>
          <w:tcPr>
            <w:tcW w:w="1378" w:type="dxa"/>
          </w:tcPr>
          <w:p w14:paraId="6983F78E" w14:textId="625A54A0" w:rsidR="0096785B" w:rsidRDefault="0096785B" w:rsidP="00936F7C">
            <w:pPr>
              <w:jc w:val="center"/>
              <w:rPr>
                <w:lang w:val="en-US"/>
              </w:rPr>
            </w:pPr>
            <w:r>
              <w:rPr>
                <w:lang w:val="en-US"/>
              </w:rPr>
              <w:t>No</w:t>
            </w:r>
          </w:p>
        </w:tc>
      </w:tr>
      <w:tr w:rsidR="0096785B" w:rsidRPr="00625D0F" w14:paraId="67852760" w14:textId="06BCEBA4" w:rsidTr="00EF1B80">
        <w:trPr>
          <w:trHeight w:val="351"/>
        </w:trPr>
        <w:tc>
          <w:tcPr>
            <w:tcW w:w="989" w:type="dxa"/>
            <w:vMerge/>
            <w:shd w:val="clear" w:color="auto" w:fill="auto"/>
            <w:vAlign w:val="center"/>
            <w:hideMark/>
          </w:tcPr>
          <w:p w14:paraId="500FA3EE" w14:textId="77777777" w:rsidR="0096785B" w:rsidRPr="00625D0F" w:rsidRDefault="0096785B" w:rsidP="00625D0F">
            <w:pPr>
              <w:rPr>
                <w:lang w:val="en-US"/>
              </w:rPr>
            </w:pPr>
          </w:p>
        </w:tc>
        <w:tc>
          <w:tcPr>
            <w:tcW w:w="949" w:type="dxa"/>
          </w:tcPr>
          <w:p w14:paraId="1C87F5A5" w14:textId="74E43142" w:rsidR="0096785B" w:rsidRDefault="0096785B" w:rsidP="00625D0F">
            <w:pPr>
              <w:rPr>
                <w:lang w:val="en-US"/>
              </w:rPr>
            </w:pPr>
            <w:r>
              <w:rPr>
                <w:lang w:val="en-US"/>
              </w:rPr>
              <w:t>Scheme D</w:t>
            </w:r>
          </w:p>
        </w:tc>
        <w:tc>
          <w:tcPr>
            <w:tcW w:w="1333" w:type="dxa"/>
            <w:shd w:val="clear" w:color="auto" w:fill="auto"/>
            <w:tcMar>
              <w:top w:w="72" w:type="dxa"/>
              <w:left w:w="144" w:type="dxa"/>
              <w:bottom w:w="72" w:type="dxa"/>
              <w:right w:w="144" w:type="dxa"/>
            </w:tcMar>
            <w:hideMark/>
          </w:tcPr>
          <w:p w14:paraId="0FBFCE82" w14:textId="6AB428A3" w:rsidR="0096785B" w:rsidRDefault="0096785B" w:rsidP="00625D0F">
            <w:pPr>
              <w:rPr>
                <w:lang w:val="en-US"/>
              </w:rPr>
            </w:pPr>
            <w:r>
              <w:rPr>
                <w:lang w:val="en-US"/>
              </w:rPr>
              <w:t>Single NSSS subframe</w:t>
            </w:r>
          </w:p>
          <w:p w14:paraId="0310B888" w14:textId="0557715D" w:rsidR="0096785B" w:rsidRPr="00625D0F" w:rsidRDefault="0096785B" w:rsidP="00625D0F">
            <w:pPr>
              <w:rPr>
                <w:lang w:val="en-US"/>
              </w:rPr>
            </w:pPr>
          </w:p>
        </w:tc>
        <w:tc>
          <w:tcPr>
            <w:tcW w:w="1440" w:type="dxa"/>
          </w:tcPr>
          <w:p w14:paraId="313942E4" w14:textId="194CECDD" w:rsidR="0096785B" w:rsidRDefault="0096785B" w:rsidP="0056694C">
            <w:pPr>
              <w:jc w:val="center"/>
              <w:rPr>
                <w:lang w:val="en-US"/>
              </w:rPr>
            </w:pPr>
            <w:r w:rsidRPr="00625D0F">
              <w:rPr>
                <w:lang w:val="en-US"/>
              </w:rPr>
              <w:t>[1 0] or [0 1]</w:t>
            </w:r>
          </w:p>
        </w:tc>
        <w:tc>
          <w:tcPr>
            <w:tcW w:w="1849" w:type="dxa"/>
            <w:shd w:val="clear" w:color="auto" w:fill="auto"/>
            <w:tcMar>
              <w:top w:w="72" w:type="dxa"/>
              <w:left w:w="144" w:type="dxa"/>
              <w:bottom w:w="72" w:type="dxa"/>
              <w:right w:w="144" w:type="dxa"/>
            </w:tcMar>
            <w:hideMark/>
          </w:tcPr>
          <w:p w14:paraId="3383EF6E" w14:textId="1361FD25" w:rsidR="0096785B" w:rsidRPr="00625D0F" w:rsidRDefault="00EC6B53" w:rsidP="0056694C">
            <w:pPr>
              <w:jc w:val="center"/>
              <w:rPr>
                <w:lang w:val="en-US"/>
              </w:rPr>
            </w:pPr>
            <m:oMath>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e>
                  </m:d>
                </m:e>
                <m:sup>
                  <m:r>
                    <w:rPr>
                      <w:rFonts w:ascii="Cambria Math" w:hAnsi="Cambria Math"/>
                      <w:lang w:val="en-US"/>
                    </w:rPr>
                    <m:t>2</m:t>
                  </m:r>
                </m:sup>
              </m:sSup>
            </m:oMath>
            <w:r w:rsidR="0096785B">
              <w:rPr>
                <w:lang w:val="en-US"/>
              </w:rPr>
              <w:t xml:space="preserve"> or </w:t>
            </w:r>
            <m:oMath>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m:t>
                          </m:r>
                        </m:sub>
                      </m:sSub>
                    </m:e>
                  </m:d>
                </m:e>
                <m:sup>
                  <m:r>
                    <w:rPr>
                      <w:rFonts w:ascii="Cambria Math" w:hAnsi="Cambria Math"/>
                      <w:lang w:val="en-US"/>
                    </w:rPr>
                    <m:t>2</m:t>
                  </m:r>
                </m:sup>
              </m:sSup>
            </m:oMath>
            <w:r w:rsidR="0096785B">
              <w:rPr>
                <w:lang w:val="en-US"/>
              </w:rPr>
              <w:t xml:space="preserve"> </w:t>
            </w:r>
            <w:r w:rsidR="0096785B" w:rsidRPr="00936F7C">
              <w:rPr>
                <w:vertAlign w:val="superscript"/>
                <w:lang w:val="en-US"/>
              </w:rPr>
              <w:t xml:space="preserve">Note </w:t>
            </w:r>
            <w:r w:rsidR="0096785B">
              <w:rPr>
                <w:vertAlign w:val="superscript"/>
                <w:lang w:val="en-US"/>
              </w:rPr>
              <w:t>1</w:t>
            </w:r>
          </w:p>
        </w:tc>
        <w:tc>
          <w:tcPr>
            <w:tcW w:w="1539" w:type="dxa"/>
            <w:shd w:val="clear" w:color="auto" w:fill="auto"/>
          </w:tcPr>
          <w:p w14:paraId="23E72788" w14:textId="2D32491D" w:rsidR="0096785B" w:rsidRPr="00625D0F" w:rsidRDefault="0096785B" w:rsidP="00936F7C">
            <w:pPr>
              <w:jc w:val="center"/>
              <w:rPr>
                <w:lang w:val="en-US"/>
              </w:rPr>
            </w:pPr>
            <w:r>
              <w:rPr>
                <w:lang w:val="en-US"/>
              </w:rPr>
              <w:t>1ms</w:t>
            </w:r>
          </w:p>
        </w:tc>
        <w:tc>
          <w:tcPr>
            <w:tcW w:w="1378" w:type="dxa"/>
          </w:tcPr>
          <w:p w14:paraId="18A89905" w14:textId="03A95259" w:rsidR="0096785B" w:rsidRDefault="0096785B" w:rsidP="00936F7C">
            <w:pPr>
              <w:jc w:val="center"/>
              <w:rPr>
                <w:lang w:val="en-US"/>
              </w:rPr>
            </w:pPr>
            <w:r>
              <w:rPr>
                <w:lang w:val="en-US"/>
              </w:rPr>
              <w:t>No</w:t>
            </w:r>
          </w:p>
        </w:tc>
      </w:tr>
      <w:tr w:rsidR="00A521AD" w:rsidRPr="00625D0F" w14:paraId="2446E105" w14:textId="17030F43" w:rsidTr="00333FF5">
        <w:trPr>
          <w:trHeight w:val="710"/>
        </w:trPr>
        <w:tc>
          <w:tcPr>
            <w:tcW w:w="9477" w:type="dxa"/>
            <w:gridSpan w:val="7"/>
          </w:tcPr>
          <w:p w14:paraId="6D150D0C" w14:textId="26E77B28" w:rsidR="00A521AD" w:rsidRDefault="00A521AD" w:rsidP="00936F7C">
            <w:pPr>
              <w:rPr>
                <w:lang w:val="en-US"/>
              </w:rPr>
            </w:pPr>
            <w:r>
              <w:rPr>
                <w:lang w:val="en-US"/>
              </w:rPr>
              <w:t>Note 1: Depends on which NSSS subframe (even or odd) UE measures.</w:t>
            </w:r>
          </w:p>
          <w:p w14:paraId="5BA27BD2" w14:textId="77777777" w:rsidR="00A521AD" w:rsidRDefault="00A521AD" w:rsidP="00625D0F">
            <w:pPr>
              <w:rPr>
                <w:lang w:val="en-US"/>
              </w:rPr>
            </w:pPr>
            <w:r>
              <w:rPr>
                <w:lang w:val="en-US"/>
              </w:rPr>
              <w:lastRenderedPageBreak/>
              <w:t xml:space="preserve">Note 2: Assuming channel remains unchanged between the adjacent NSSS subframes.  </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d>
                <m:dPr>
                  <m:ctrlPr>
                    <w:rPr>
                      <w:rFonts w:ascii="Cambria Math" w:hAnsi="Cambria Math"/>
                      <w:i/>
                      <w:lang w:val="en-US"/>
                    </w:rPr>
                  </m:ctrlPr>
                </m:dPr>
                <m:e>
                  <m:f>
                    <m:fPr>
                      <m:ctrlPr>
                        <w:rPr>
                          <w:rFonts w:ascii="Cambria Math" w:hAnsi="Cambria Math"/>
                          <w:i/>
                          <w:sz w:val="28"/>
                          <w:szCs w:val="28"/>
                          <w:lang w:val="en-US"/>
                        </w:rPr>
                      </m:ctrlPr>
                    </m:fPr>
                    <m:num>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1</m:t>
                                  </m:r>
                                </m:sub>
                              </m:sSub>
                            </m:e>
                          </m:d>
                        </m:e>
                        <m:sup>
                          <m:r>
                            <w:rPr>
                              <w:rFonts w:ascii="Cambria Math" w:hAnsi="Cambria Math"/>
                              <w:sz w:val="28"/>
                              <w:szCs w:val="28"/>
                              <w:lang w:val="en-US"/>
                            </w:rPr>
                            <m:t>2</m:t>
                          </m:r>
                        </m:sup>
                      </m:sSup>
                    </m:num>
                    <m:den>
                      <m:r>
                        <w:rPr>
                          <w:rFonts w:ascii="Cambria Math" w:hAnsi="Cambria Math"/>
                          <w:sz w:val="28"/>
                          <w:szCs w:val="28"/>
                          <w:lang w:val="en-US"/>
                        </w:rPr>
                        <m:t>2</m:t>
                      </m:r>
                    </m:den>
                  </m:f>
                  <m:r>
                    <w:rPr>
                      <w:rFonts w:ascii="Cambria Math" w:hAnsi="Cambria Math"/>
                      <w:sz w:val="28"/>
                      <w:szCs w:val="28"/>
                      <w:lang w:val="en-US"/>
                    </w:rPr>
                    <m:t>+</m:t>
                  </m:r>
                  <m:f>
                    <m:fPr>
                      <m:ctrlPr>
                        <w:rPr>
                          <w:rFonts w:ascii="Cambria Math" w:hAnsi="Cambria Math"/>
                          <w:i/>
                          <w:sz w:val="28"/>
                          <w:szCs w:val="28"/>
                          <w:lang w:val="en-US"/>
                        </w:rPr>
                      </m:ctrlPr>
                    </m:fPr>
                    <m:num>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1</m:t>
                                  </m:r>
                                </m:sub>
                              </m:sSub>
                            </m:e>
                          </m:d>
                        </m:e>
                        <m:sup>
                          <m:r>
                            <w:rPr>
                              <w:rFonts w:ascii="Cambria Math" w:hAnsi="Cambria Math"/>
                              <w:sz w:val="28"/>
                              <w:szCs w:val="28"/>
                              <w:lang w:val="en-US"/>
                            </w:rPr>
                            <m:t>2</m:t>
                          </m:r>
                        </m:sup>
                      </m:sSup>
                    </m:num>
                    <m:den>
                      <m:r>
                        <w:rPr>
                          <w:rFonts w:ascii="Cambria Math" w:hAnsi="Cambria Math"/>
                          <w:sz w:val="28"/>
                          <w:szCs w:val="28"/>
                          <w:lang w:val="en-US"/>
                        </w:rPr>
                        <m:t>2</m:t>
                      </m:r>
                    </m:den>
                  </m:f>
                </m:e>
              </m:d>
            </m:oMath>
            <w:r w:rsidRPr="0056694C">
              <w:rPr>
                <w:sz w:val="28"/>
                <w:szCs w:val="28"/>
                <w:lang w:val="en-US"/>
              </w:rPr>
              <w:t xml:space="preserve"> </w:t>
            </w:r>
          </w:p>
          <w:p w14:paraId="7CE4CF79" w14:textId="77777777" w:rsidR="00A521AD" w:rsidRDefault="00A521AD" w:rsidP="00936F7C">
            <w:pPr>
              <w:rPr>
                <w:lang w:val="en-US"/>
              </w:rPr>
            </w:pPr>
            <w:r>
              <w:rPr>
                <w:lang w:val="en-US"/>
              </w:rPr>
              <w:t xml:space="preserve">Note 3: Averaging measurement across different beamforming scheme requires measuring two adjacent NSSS subframes </w:t>
            </w:r>
          </w:p>
          <w:p w14:paraId="6B6D4AE3" w14:textId="19F71DD1" w:rsidR="00B94D66" w:rsidRDefault="00B94D66" w:rsidP="00936F7C">
            <w:pPr>
              <w:rPr>
                <w:lang w:val="en-US"/>
              </w:rPr>
            </w:pPr>
            <w:r>
              <w:rPr>
                <w:lang w:val="en-US"/>
              </w:rPr>
              <w:t xml:space="preserve">Note </w:t>
            </w:r>
            <w:r>
              <w:rPr>
                <w:lang w:val="en-US"/>
              </w:rPr>
              <w:t>4</w:t>
            </w:r>
            <w:r>
              <w:rPr>
                <w:lang w:val="en-US"/>
              </w:rPr>
              <w:t xml:space="preserve">: </w:t>
            </w:r>
            <w:r>
              <w:rPr>
                <w:lang w:val="en-US"/>
              </w:rPr>
              <w:t xml:space="preserve">Depending on magnitude and phase of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m:t>
                  </m:r>
                </m:sub>
              </m:sSub>
            </m:oMath>
            <w:r>
              <w:rPr>
                <w:lang w:val="en-US"/>
              </w:rPr>
              <w:t xml:space="preserve">, the measured channel </w:t>
            </w:r>
            <w:r w:rsidR="00794AD3">
              <w:rPr>
                <w:lang w:val="en-US"/>
              </w:rPr>
              <w:t>may over-estimate the path loss when destructively combined.</w:t>
            </w:r>
          </w:p>
        </w:tc>
      </w:tr>
    </w:tbl>
    <w:p w14:paraId="52928893" w14:textId="29274E1E" w:rsidR="00625D0F" w:rsidRDefault="00625D0F" w:rsidP="00267B2F">
      <w:pPr>
        <w:rPr>
          <w:lang w:val="en-US"/>
        </w:rPr>
      </w:pPr>
    </w:p>
    <w:p w14:paraId="63EC9E40" w14:textId="652538F5" w:rsidR="0096785B" w:rsidRDefault="0096785B" w:rsidP="00267B2F">
      <w:pPr>
        <w:rPr>
          <w:lang w:val="en-US"/>
        </w:rPr>
      </w:pPr>
      <w:r>
        <w:rPr>
          <w:lang w:val="en-US"/>
        </w:rPr>
        <w:t>To this end, we propose RAN4 to determine one of the following options as wayforward for NSSS-based RRM measurement.</w:t>
      </w:r>
      <w:r w:rsidR="00843FA1">
        <w:rPr>
          <w:lang w:val="en-US"/>
        </w:rPr>
        <w:t xml:space="preserve"> We are in preference of option 1 since it can completely remove the beamforming aspect in the RRM measurement while option 2 needs to rely on channel averaging over longer duration to achieve the same.</w:t>
      </w:r>
    </w:p>
    <w:p w14:paraId="09D0D693" w14:textId="77777777" w:rsidR="008C73AA" w:rsidRDefault="008C73AA" w:rsidP="008C73AA">
      <w:pPr>
        <w:spacing w:after="0"/>
        <w:rPr>
          <w:b/>
          <w:i/>
        </w:rPr>
      </w:pPr>
      <w:r>
        <w:rPr>
          <w:b/>
          <w:i/>
        </w:rPr>
        <w:t xml:space="preserve">Proposal 1. RAN4 to choose NSSS transmission scheme between option 1 and option 2 as a working assumption for </w:t>
      </w:r>
      <w:bookmarkStart w:id="1" w:name="_GoBack"/>
      <w:bookmarkEnd w:id="1"/>
      <w:r>
        <w:rPr>
          <w:b/>
          <w:i/>
        </w:rPr>
        <w:t>NSSS-based RRM measurement and inform RAN1 accordingly.</w:t>
      </w:r>
    </w:p>
    <w:p w14:paraId="60070ED4" w14:textId="77777777" w:rsidR="008C73AA" w:rsidRPr="008C73AA" w:rsidRDefault="008C73AA" w:rsidP="00267B2F"/>
    <w:p w14:paraId="605A7B86" w14:textId="48EC558F" w:rsidR="00C06864" w:rsidRPr="00C06864" w:rsidRDefault="00C06864" w:rsidP="00C06864">
      <w:pPr>
        <w:pStyle w:val="ListParagraph"/>
        <w:numPr>
          <w:ilvl w:val="0"/>
          <w:numId w:val="25"/>
        </w:numPr>
        <w:rPr>
          <w:sz w:val="20"/>
          <w:szCs w:val="20"/>
        </w:rPr>
      </w:pPr>
      <w:r w:rsidRPr="00C06864">
        <w:rPr>
          <w:sz w:val="20"/>
          <w:szCs w:val="20"/>
        </w:rPr>
        <w:t>Option 1</w:t>
      </w:r>
    </w:p>
    <w:p w14:paraId="68979C3A" w14:textId="159CF3C7" w:rsidR="00C06864" w:rsidRDefault="0096785B" w:rsidP="00C06864">
      <w:pPr>
        <w:pStyle w:val="ListParagraph"/>
        <w:numPr>
          <w:ilvl w:val="1"/>
          <w:numId w:val="25"/>
        </w:numPr>
        <w:rPr>
          <w:sz w:val="20"/>
          <w:szCs w:val="20"/>
        </w:rPr>
      </w:pPr>
      <w:r w:rsidRPr="00C06864">
        <w:rPr>
          <w:sz w:val="20"/>
          <w:szCs w:val="20"/>
        </w:rPr>
        <w:t xml:space="preserve">eNB only uses transmit antenna selection for </w:t>
      </w:r>
      <w:r w:rsidR="00C06864">
        <w:rPr>
          <w:sz w:val="20"/>
          <w:szCs w:val="20"/>
        </w:rPr>
        <w:t>the</w:t>
      </w:r>
      <w:r w:rsidRPr="00C06864">
        <w:rPr>
          <w:sz w:val="20"/>
          <w:szCs w:val="20"/>
        </w:rPr>
        <w:t xml:space="preserve"> NSSS transmit diversity when NSSS is allowed to be used for RRM measurement</w:t>
      </w:r>
      <w:r w:rsidR="00C06864">
        <w:rPr>
          <w:sz w:val="20"/>
          <w:szCs w:val="20"/>
        </w:rPr>
        <w:t>.</w:t>
      </w:r>
    </w:p>
    <w:p w14:paraId="1BDE86FB" w14:textId="7FD876AF" w:rsidR="0096785B" w:rsidRDefault="00C06864" w:rsidP="00C06864">
      <w:pPr>
        <w:pStyle w:val="ListParagraph"/>
        <w:numPr>
          <w:ilvl w:val="1"/>
          <w:numId w:val="25"/>
        </w:numPr>
        <w:rPr>
          <w:sz w:val="20"/>
          <w:szCs w:val="20"/>
        </w:rPr>
      </w:pPr>
      <w:r>
        <w:rPr>
          <w:sz w:val="20"/>
          <w:szCs w:val="20"/>
        </w:rPr>
        <w:t xml:space="preserve">NSSS </w:t>
      </w:r>
      <w:r w:rsidR="00843FA1">
        <w:rPr>
          <w:sz w:val="20"/>
          <w:szCs w:val="20"/>
        </w:rPr>
        <w:t>may be</w:t>
      </w:r>
      <w:r>
        <w:rPr>
          <w:sz w:val="20"/>
          <w:szCs w:val="20"/>
        </w:rPr>
        <w:t xml:space="preserve"> transmitted using </w:t>
      </w:r>
      <w:r w:rsidRPr="00C06864">
        <w:rPr>
          <w:sz w:val="20"/>
          <w:szCs w:val="20"/>
        </w:rPr>
        <w:t xml:space="preserve">k-th transmit antenna </w:t>
      </w:r>
      <w:r>
        <w:rPr>
          <w:sz w:val="20"/>
          <w:szCs w:val="20"/>
        </w:rPr>
        <w:t>at</w:t>
      </w:r>
      <w:r w:rsidRPr="00C06864">
        <w:rPr>
          <w:sz w:val="20"/>
          <w:szCs w:val="20"/>
        </w:rPr>
        <w:t xml:space="preserve"> every</w:t>
      </w:r>
      <w:r>
        <w:rPr>
          <w:sz w:val="20"/>
          <w:szCs w:val="20"/>
        </w:rPr>
        <w:t xml:space="preserve"> k-th NSSS subframe.</w:t>
      </w:r>
    </w:p>
    <w:p w14:paraId="5F9FB96C" w14:textId="3074C4F5" w:rsidR="00C06864" w:rsidRDefault="00C06864" w:rsidP="00C06864">
      <w:pPr>
        <w:pStyle w:val="ListParagraph"/>
        <w:numPr>
          <w:ilvl w:val="0"/>
          <w:numId w:val="25"/>
        </w:numPr>
        <w:rPr>
          <w:sz w:val="20"/>
          <w:szCs w:val="20"/>
        </w:rPr>
      </w:pPr>
      <w:r>
        <w:rPr>
          <w:sz w:val="20"/>
          <w:szCs w:val="20"/>
        </w:rPr>
        <w:t>Option 2</w:t>
      </w:r>
    </w:p>
    <w:p w14:paraId="0AB4C2F9" w14:textId="2E77A362" w:rsidR="00C06864" w:rsidRDefault="00C06864" w:rsidP="00C06864">
      <w:pPr>
        <w:pStyle w:val="ListParagraph"/>
        <w:numPr>
          <w:ilvl w:val="1"/>
          <w:numId w:val="25"/>
        </w:numPr>
        <w:rPr>
          <w:sz w:val="20"/>
          <w:szCs w:val="20"/>
        </w:rPr>
      </w:pPr>
      <w:r>
        <w:rPr>
          <w:sz w:val="20"/>
          <w:szCs w:val="20"/>
        </w:rPr>
        <w:t>No additional requirement on NSSS transmit diversity imposed to eNB</w:t>
      </w:r>
    </w:p>
    <w:p w14:paraId="6114FA43" w14:textId="4666504A" w:rsidR="00C06864" w:rsidRDefault="00C06864" w:rsidP="00C06864">
      <w:pPr>
        <w:pStyle w:val="ListParagraph"/>
        <w:numPr>
          <w:ilvl w:val="1"/>
          <w:numId w:val="25"/>
        </w:numPr>
        <w:rPr>
          <w:sz w:val="20"/>
          <w:szCs w:val="20"/>
        </w:rPr>
      </w:pPr>
      <w:r>
        <w:rPr>
          <w:sz w:val="20"/>
          <w:szCs w:val="20"/>
        </w:rPr>
        <w:t>Accuracy requirement and test for NSSS-based RRM measurement is defined under the condition that NSSS is always transmitted from single antenna port without any beamforming.</w:t>
      </w:r>
    </w:p>
    <w:p w14:paraId="11B71F4E" w14:textId="5DFE9233" w:rsidR="00C811D4" w:rsidRDefault="00C811D4" w:rsidP="00DC2BD7">
      <w:pPr>
        <w:spacing w:after="0"/>
        <w:rPr>
          <w:lang w:val="en-US"/>
        </w:rPr>
      </w:pPr>
    </w:p>
    <w:p w14:paraId="0A3B8812" w14:textId="6D831BA1" w:rsidR="00843FA1" w:rsidRDefault="00843FA1" w:rsidP="00843FA1">
      <w:pPr>
        <w:spacing w:after="0"/>
        <w:rPr>
          <w:lang w:val="en-US"/>
        </w:rPr>
      </w:pPr>
      <w:r>
        <w:rPr>
          <w:lang w:val="en-US"/>
        </w:rPr>
        <w:t xml:space="preserve">For both options, it should be left </w:t>
      </w:r>
      <w:r w:rsidRPr="00843FA1">
        <w:rPr>
          <w:lang w:val="en-US"/>
        </w:rPr>
        <w:t xml:space="preserve">up to UE </w:t>
      </w:r>
      <w:r>
        <w:rPr>
          <w:lang w:val="en-US"/>
        </w:rPr>
        <w:t xml:space="preserve">implementation </w:t>
      </w:r>
      <w:r w:rsidRPr="00843FA1">
        <w:rPr>
          <w:lang w:val="en-US"/>
        </w:rPr>
        <w:t>which NSSS subframes to measure for its RRM measuremen</w:t>
      </w:r>
      <w:r>
        <w:rPr>
          <w:lang w:val="en-US"/>
        </w:rPr>
        <w:t xml:space="preserve">t and </w:t>
      </w:r>
      <w:r w:rsidRPr="00843FA1">
        <w:rPr>
          <w:lang w:val="en-US"/>
        </w:rPr>
        <w:t xml:space="preserve">UE </w:t>
      </w:r>
      <w:r>
        <w:rPr>
          <w:lang w:val="en-US"/>
        </w:rPr>
        <w:t>should</w:t>
      </w:r>
      <w:r w:rsidRPr="00843FA1">
        <w:rPr>
          <w:lang w:val="en-US"/>
        </w:rPr>
        <w:t xml:space="preserve"> not </w:t>
      </w:r>
      <w:r>
        <w:rPr>
          <w:lang w:val="en-US"/>
        </w:rPr>
        <w:t xml:space="preserve">be </w:t>
      </w:r>
      <w:r w:rsidRPr="00843FA1">
        <w:rPr>
          <w:lang w:val="en-US"/>
        </w:rPr>
        <w:t>required to measure more than one consecutive NSSS subframes at any measurement occasion.</w:t>
      </w:r>
    </w:p>
    <w:p w14:paraId="59C7D7B6" w14:textId="62AB546E" w:rsidR="00843FA1" w:rsidRDefault="00843FA1" w:rsidP="00843FA1">
      <w:pPr>
        <w:spacing w:after="0"/>
        <w:rPr>
          <w:lang w:val="en-US"/>
        </w:rPr>
      </w:pPr>
    </w:p>
    <w:p w14:paraId="0B8A8D40" w14:textId="5D599449" w:rsidR="00843FA1" w:rsidRDefault="00843FA1" w:rsidP="00843FA1">
      <w:pPr>
        <w:spacing w:after="0"/>
        <w:rPr>
          <w:lang w:val="en-US"/>
        </w:rPr>
      </w:pPr>
    </w:p>
    <w:p w14:paraId="509A8BA9" w14:textId="66A088B7" w:rsidR="00843FA1" w:rsidRDefault="00843FA1" w:rsidP="00843FA1">
      <w:pPr>
        <w:spacing w:after="0"/>
        <w:rPr>
          <w:b/>
          <w:i/>
          <w:lang w:val="en-US"/>
        </w:rPr>
      </w:pPr>
      <w:r w:rsidRPr="00843FA1">
        <w:rPr>
          <w:b/>
          <w:i/>
          <w:lang w:val="en-US"/>
        </w:rPr>
        <w:t xml:space="preserve">Proposal 2. </w:t>
      </w:r>
      <w:r w:rsidR="00FF6D02">
        <w:rPr>
          <w:b/>
          <w:i/>
          <w:lang w:val="en-US"/>
        </w:rPr>
        <w:t>I</w:t>
      </w:r>
      <w:r w:rsidRPr="00843FA1">
        <w:rPr>
          <w:b/>
          <w:i/>
          <w:lang w:val="en-US"/>
        </w:rPr>
        <w:t>t should be up to UE implementation which NSSS subframes to measure for its RRM measurement and UE should not be required to measure more than one consecutive NSSS subframes at any measurement occasion.</w:t>
      </w:r>
    </w:p>
    <w:p w14:paraId="37A9B18B" w14:textId="77777777" w:rsidR="00FF6D02" w:rsidRPr="00843FA1" w:rsidRDefault="00FF6D02" w:rsidP="00843FA1">
      <w:pPr>
        <w:spacing w:after="0"/>
        <w:rPr>
          <w:b/>
          <w:i/>
          <w:lang w:val="en-US"/>
        </w:rPr>
      </w:pPr>
    </w:p>
    <w:p w14:paraId="7FABCD34" w14:textId="10A3AA95" w:rsidR="00C06864" w:rsidRDefault="00C06864" w:rsidP="00C06864">
      <w:pPr>
        <w:pStyle w:val="Heading1"/>
        <w:rPr>
          <w:lang w:val="en-US"/>
        </w:rPr>
      </w:pPr>
      <w:r>
        <w:rPr>
          <w:lang w:val="en-US"/>
        </w:rPr>
        <w:t>Conclusion</w:t>
      </w:r>
    </w:p>
    <w:p w14:paraId="7395D2E5" w14:textId="1BABD7B7" w:rsidR="00FF6D02" w:rsidRDefault="00FF6D02" w:rsidP="00FF6D02">
      <w:pPr>
        <w:spacing w:after="0"/>
        <w:rPr>
          <w:lang w:val="en-US"/>
        </w:rPr>
      </w:pPr>
      <w:r>
        <w:rPr>
          <w:lang w:val="en-US"/>
        </w:rPr>
        <w:t>In this paper, we provided further analysis on the main open issue of the impact of NSSS transmit diversity to NSSS-based RRM measurement and discussed a possible way-forward. Observations and proposals in this paper is summarized as follows:</w:t>
      </w:r>
      <w:r>
        <w:rPr>
          <w:lang w:val="en-US"/>
        </w:rPr>
        <w:br/>
      </w:r>
    </w:p>
    <w:p w14:paraId="272F85B0" w14:textId="77777777" w:rsidR="00FF6D02" w:rsidRPr="0000481C" w:rsidRDefault="00FF6D02" w:rsidP="00FF6D02">
      <w:pPr>
        <w:rPr>
          <w:b/>
          <w:i/>
        </w:rPr>
      </w:pPr>
      <w:r w:rsidRPr="0000481C">
        <w:rPr>
          <w:b/>
          <w:i/>
        </w:rPr>
        <w:t>Observation 1. Pessimistic RSRP measurement from destructive combining of NSSS transmitted from different transmit antenna observed in AWGN channel may easily be averaged out in any practical channel condition via L1 filtering and time-varying fading.</w:t>
      </w:r>
    </w:p>
    <w:p w14:paraId="652865D6" w14:textId="77777777" w:rsidR="00FF6D02" w:rsidRPr="0000481C" w:rsidRDefault="00FF6D02" w:rsidP="00FF6D02">
      <w:pPr>
        <w:rPr>
          <w:b/>
          <w:i/>
        </w:rPr>
      </w:pPr>
      <w:r w:rsidRPr="0000481C">
        <w:rPr>
          <w:b/>
          <w:i/>
        </w:rPr>
        <w:t xml:space="preserve">Observation 2. </w:t>
      </w:r>
      <w:r>
        <w:rPr>
          <w:b/>
          <w:i/>
        </w:rPr>
        <w:t xml:space="preserve">UE would not experience the pessimistic RSRP measurement from NSSS subframe at all even in a static channel when eNB chooses a transmit antenna selection as NSSS transmit diversity scheme, </w:t>
      </w:r>
      <w:r>
        <w:t xml:space="preserve">{[1 0], [0 1]}. </w:t>
      </w:r>
    </w:p>
    <w:p w14:paraId="40FD8206" w14:textId="6712DABE" w:rsidR="00FF6D02" w:rsidRDefault="00FF6D02" w:rsidP="00FF6D02">
      <w:pPr>
        <w:rPr>
          <w:b/>
          <w:i/>
        </w:rPr>
      </w:pPr>
      <w:r w:rsidRPr="00394CBF">
        <w:rPr>
          <w:b/>
          <w:i/>
        </w:rPr>
        <w:t xml:space="preserve">Observation 3. Without further specifying the actual NSSS transmit diversity scheme, defining </w:t>
      </w:r>
      <w:r>
        <w:rPr>
          <w:b/>
          <w:i/>
        </w:rPr>
        <w:t>a</w:t>
      </w:r>
      <w:r w:rsidRPr="00394CBF">
        <w:rPr>
          <w:b/>
          <w:i/>
        </w:rPr>
        <w:t xml:space="preserve"> deterministic NSSS transmit diversity pattern and informing such pattern to UE</w:t>
      </w:r>
      <w:r>
        <w:rPr>
          <w:b/>
          <w:i/>
        </w:rPr>
        <w:t xml:space="preserve"> cannot resolve the RSRP variation from NSSS transmit diversity unless UE is</w:t>
      </w:r>
      <w:r w:rsidRPr="00394CBF">
        <w:rPr>
          <w:b/>
          <w:i/>
        </w:rPr>
        <w:t xml:space="preserve"> require</w:t>
      </w:r>
      <w:r>
        <w:rPr>
          <w:b/>
          <w:i/>
        </w:rPr>
        <w:t>d</w:t>
      </w:r>
      <w:r w:rsidRPr="00394CBF">
        <w:rPr>
          <w:b/>
          <w:i/>
        </w:rPr>
        <w:t xml:space="preserve"> </w:t>
      </w:r>
      <w:r>
        <w:rPr>
          <w:b/>
          <w:i/>
        </w:rPr>
        <w:t xml:space="preserve">to perform </w:t>
      </w:r>
      <w:r w:rsidRPr="00394CBF">
        <w:rPr>
          <w:b/>
          <w:i/>
        </w:rPr>
        <w:t>a more complicated</w:t>
      </w:r>
      <w:r>
        <w:rPr>
          <w:b/>
          <w:i/>
        </w:rPr>
        <w:t>/</w:t>
      </w:r>
      <w:r w:rsidRPr="00394CBF">
        <w:rPr>
          <w:b/>
          <w:i/>
        </w:rPr>
        <w:t>power</w:t>
      </w:r>
      <w:r>
        <w:rPr>
          <w:b/>
          <w:i/>
        </w:rPr>
        <w:t>-</w:t>
      </w:r>
      <w:r w:rsidRPr="00394CBF">
        <w:rPr>
          <w:b/>
          <w:i/>
        </w:rPr>
        <w:t xml:space="preserve">inefficient operation to measure multiple consecutive NSSS subframes </w:t>
      </w:r>
      <w:r>
        <w:rPr>
          <w:b/>
          <w:i/>
        </w:rPr>
        <w:t>at every measurement occasion</w:t>
      </w:r>
      <w:r w:rsidRPr="00394CBF">
        <w:rPr>
          <w:b/>
          <w:i/>
        </w:rPr>
        <w:t xml:space="preserve"> to average out the effect of the NSSS </w:t>
      </w:r>
      <w:r>
        <w:rPr>
          <w:b/>
          <w:i/>
        </w:rPr>
        <w:t>beamforming.</w:t>
      </w:r>
    </w:p>
    <w:p w14:paraId="1ACE1BF1" w14:textId="77777777" w:rsidR="00FF6D02" w:rsidRPr="00FF6D02" w:rsidRDefault="00FF6D02" w:rsidP="00FF6D02">
      <w:pPr>
        <w:rPr>
          <w:b/>
          <w:i/>
        </w:rPr>
      </w:pPr>
      <w:r w:rsidRPr="00FF6D02">
        <w:rPr>
          <w:b/>
          <w:i/>
        </w:rPr>
        <w:t>Observation 4. Transmit antenna selection as NSSS transmit diversity scheme can eliminate the concerns for the possible pessimistic RSRP measurement without requiring complicated and power inefficient UE measurement operation while achieving the same diversity gain</w:t>
      </w:r>
      <w:r>
        <w:rPr>
          <w:b/>
          <w:i/>
        </w:rPr>
        <w:t xml:space="preserve"> as other beamforming scheme.</w:t>
      </w:r>
    </w:p>
    <w:p w14:paraId="23F73989" w14:textId="4425D483" w:rsidR="00FF6D02" w:rsidRDefault="00FF6D02" w:rsidP="00FF6D02">
      <w:pPr>
        <w:spacing w:after="0"/>
        <w:rPr>
          <w:b/>
          <w:i/>
        </w:rPr>
      </w:pPr>
      <w:r>
        <w:rPr>
          <w:b/>
          <w:i/>
        </w:rPr>
        <w:t>Proposal 1. RAN4 to choose NSSS transmission scheme between option 1 and option 2 as a working assumption for NSSS-based RRM measurement</w:t>
      </w:r>
      <w:r w:rsidR="008C73AA">
        <w:rPr>
          <w:b/>
          <w:i/>
        </w:rPr>
        <w:t xml:space="preserve"> and inform RAN1 accordingly.</w:t>
      </w:r>
    </w:p>
    <w:p w14:paraId="354E908F" w14:textId="220C8548" w:rsidR="00FF6D02" w:rsidRDefault="00FF6D02" w:rsidP="00FF6D02">
      <w:pPr>
        <w:spacing w:after="0"/>
        <w:rPr>
          <w:b/>
          <w:i/>
        </w:rPr>
      </w:pPr>
    </w:p>
    <w:p w14:paraId="298DB17C" w14:textId="77777777" w:rsidR="00FF6D02" w:rsidRPr="00FF6D02" w:rsidRDefault="00FF6D02" w:rsidP="00FF6D02">
      <w:pPr>
        <w:pStyle w:val="ListParagraph"/>
        <w:numPr>
          <w:ilvl w:val="0"/>
          <w:numId w:val="25"/>
        </w:numPr>
        <w:rPr>
          <w:i/>
          <w:sz w:val="20"/>
          <w:szCs w:val="20"/>
        </w:rPr>
      </w:pPr>
      <w:r w:rsidRPr="00FF6D02">
        <w:rPr>
          <w:i/>
          <w:sz w:val="20"/>
          <w:szCs w:val="20"/>
        </w:rPr>
        <w:lastRenderedPageBreak/>
        <w:t>Option 1</w:t>
      </w:r>
    </w:p>
    <w:p w14:paraId="3BDEA076" w14:textId="77777777" w:rsidR="00FF6D02" w:rsidRPr="00FF6D02" w:rsidRDefault="00FF6D02" w:rsidP="00FF6D02">
      <w:pPr>
        <w:pStyle w:val="ListParagraph"/>
        <w:numPr>
          <w:ilvl w:val="1"/>
          <w:numId w:val="25"/>
        </w:numPr>
        <w:rPr>
          <w:i/>
          <w:sz w:val="20"/>
          <w:szCs w:val="20"/>
        </w:rPr>
      </w:pPr>
      <w:r w:rsidRPr="00FF6D02">
        <w:rPr>
          <w:i/>
          <w:sz w:val="20"/>
          <w:szCs w:val="20"/>
        </w:rPr>
        <w:t>eNB only uses transmit antenna selection for the NSSS transmit diversity when NSSS is allowed to be used for RRM measurement.</w:t>
      </w:r>
    </w:p>
    <w:p w14:paraId="66BEB478" w14:textId="77777777" w:rsidR="00FF6D02" w:rsidRPr="00FF6D02" w:rsidRDefault="00FF6D02" w:rsidP="00FF6D02">
      <w:pPr>
        <w:pStyle w:val="ListParagraph"/>
        <w:numPr>
          <w:ilvl w:val="1"/>
          <w:numId w:val="25"/>
        </w:numPr>
        <w:rPr>
          <w:i/>
          <w:sz w:val="20"/>
          <w:szCs w:val="20"/>
        </w:rPr>
      </w:pPr>
      <w:r w:rsidRPr="00FF6D02">
        <w:rPr>
          <w:i/>
          <w:sz w:val="20"/>
          <w:szCs w:val="20"/>
        </w:rPr>
        <w:t>NSSS may be transmitted using k-th transmit antenna at every k-th NSSS subframe.</w:t>
      </w:r>
    </w:p>
    <w:p w14:paraId="3D1E451F" w14:textId="77777777" w:rsidR="00FF6D02" w:rsidRPr="00FF6D02" w:rsidRDefault="00FF6D02" w:rsidP="00FF6D02">
      <w:pPr>
        <w:pStyle w:val="ListParagraph"/>
        <w:numPr>
          <w:ilvl w:val="0"/>
          <w:numId w:val="25"/>
        </w:numPr>
        <w:rPr>
          <w:i/>
          <w:sz w:val="20"/>
          <w:szCs w:val="20"/>
        </w:rPr>
      </w:pPr>
      <w:r w:rsidRPr="00FF6D02">
        <w:rPr>
          <w:i/>
          <w:sz w:val="20"/>
          <w:szCs w:val="20"/>
        </w:rPr>
        <w:t>Option 2</w:t>
      </w:r>
    </w:p>
    <w:p w14:paraId="4D4E94D2" w14:textId="77777777" w:rsidR="00FF6D02" w:rsidRPr="00FF6D02" w:rsidRDefault="00FF6D02" w:rsidP="00FF6D02">
      <w:pPr>
        <w:pStyle w:val="ListParagraph"/>
        <w:numPr>
          <w:ilvl w:val="1"/>
          <w:numId w:val="25"/>
        </w:numPr>
        <w:rPr>
          <w:i/>
          <w:sz w:val="20"/>
          <w:szCs w:val="20"/>
        </w:rPr>
      </w:pPr>
      <w:r w:rsidRPr="00FF6D02">
        <w:rPr>
          <w:i/>
          <w:sz w:val="20"/>
          <w:szCs w:val="20"/>
        </w:rPr>
        <w:t>No additional requirement on NSSS transmit diversity imposed to eNB</w:t>
      </w:r>
    </w:p>
    <w:p w14:paraId="5AB01EF8" w14:textId="77777777" w:rsidR="00FF6D02" w:rsidRPr="00FF6D02" w:rsidRDefault="00FF6D02" w:rsidP="00FF6D02">
      <w:pPr>
        <w:pStyle w:val="ListParagraph"/>
        <w:numPr>
          <w:ilvl w:val="1"/>
          <w:numId w:val="25"/>
        </w:numPr>
        <w:rPr>
          <w:i/>
          <w:sz w:val="20"/>
          <w:szCs w:val="20"/>
        </w:rPr>
      </w:pPr>
      <w:r w:rsidRPr="00FF6D02">
        <w:rPr>
          <w:i/>
          <w:sz w:val="20"/>
          <w:szCs w:val="20"/>
        </w:rPr>
        <w:t>Accuracy requirement and test for NSSS-based RRM measurement is defined under the condition that NSSS is always transmitted from single antenna port without any beamforming.</w:t>
      </w:r>
    </w:p>
    <w:p w14:paraId="5E66F5A3" w14:textId="77777777" w:rsidR="00FF6D02" w:rsidRDefault="00FF6D02" w:rsidP="00FF6D02">
      <w:pPr>
        <w:spacing w:after="0"/>
        <w:rPr>
          <w:lang w:val="en-US"/>
        </w:rPr>
      </w:pPr>
    </w:p>
    <w:p w14:paraId="2EEA6940" w14:textId="77777777" w:rsidR="00FF6D02" w:rsidRDefault="00FF6D02" w:rsidP="00FF6D02">
      <w:pPr>
        <w:spacing w:after="0"/>
        <w:rPr>
          <w:b/>
          <w:i/>
          <w:lang w:val="en-US"/>
        </w:rPr>
      </w:pPr>
      <w:r w:rsidRPr="00843FA1">
        <w:rPr>
          <w:b/>
          <w:i/>
          <w:lang w:val="en-US"/>
        </w:rPr>
        <w:t xml:space="preserve">Proposal 2. </w:t>
      </w:r>
      <w:r>
        <w:rPr>
          <w:b/>
          <w:i/>
          <w:lang w:val="en-US"/>
        </w:rPr>
        <w:t>I</w:t>
      </w:r>
      <w:r w:rsidRPr="00843FA1">
        <w:rPr>
          <w:b/>
          <w:i/>
          <w:lang w:val="en-US"/>
        </w:rPr>
        <w:t>t should be up to UE implementation which NSSS subframes to measure for its RRM measurement and UE should not be required to measure more than one consecutive NSSS subframes at any measurement occasion.</w:t>
      </w:r>
    </w:p>
    <w:p w14:paraId="2A7F484C" w14:textId="77777777" w:rsidR="00FF6D02" w:rsidRPr="00FF6D02" w:rsidRDefault="00FF6D02" w:rsidP="00FF6D02">
      <w:pPr>
        <w:spacing w:after="0"/>
        <w:rPr>
          <w:lang w:val="en-US"/>
        </w:rPr>
      </w:pPr>
    </w:p>
    <w:p w14:paraId="509A663F" w14:textId="77777777" w:rsidR="004A773A" w:rsidRDefault="004A773A" w:rsidP="004A773A">
      <w:pPr>
        <w:pStyle w:val="Heading1"/>
        <w:numPr>
          <w:ilvl w:val="0"/>
          <w:numId w:val="0"/>
        </w:numPr>
        <w:ind w:left="432" w:hanging="432"/>
        <w:rPr>
          <w:lang w:val="en-US"/>
        </w:rPr>
      </w:pPr>
      <w:r>
        <w:rPr>
          <w:lang w:val="en-US"/>
        </w:rPr>
        <w:t>Reference</w:t>
      </w:r>
    </w:p>
    <w:p w14:paraId="04258CB7" w14:textId="4929770E" w:rsidR="00FF6D02" w:rsidRPr="004A773A" w:rsidRDefault="00FF6D02" w:rsidP="00FF6D02">
      <w:pPr>
        <w:rPr>
          <w:lang w:val="en-US"/>
        </w:rPr>
      </w:pPr>
      <w:r>
        <w:rPr>
          <w:lang w:val="en-US"/>
        </w:rPr>
        <w:t>[</w:t>
      </w:r>
      <w:r w:rsidR="00EA3A28">
        <w:rPr>
          <w:lang w:val="en-US"/>
        </w:rPr>
        <w:t>1</w:t>
      </w:r>
      <w:r>
        <w:rPr>
          <w:lang w:val="en-US"/>
        </w:rPr>
        <w:t>] R4-1</w:t>
      </w:r>
      <w:r w:rsidR="00EA3A28">
        <w:rPr>
          <w:lang w:val="en-US"/>
        </w:rPr>
        <w:t>710306</w:t>
      </w:r>
      <w:r>
        <w:rPr>
          <w:lang w:val="en-US"/>
        </w:rPr>
        <w:t>, “</w:t>
      </w:r>
      <w:r w:rsidR="00EA3A28" w:rsidRPr="00EA3A28">
        <w:rPr>
          <w:lang w:val="en-US"/>
        </w:rPr>
        <w:t>On NSSS-based measurement for FeNB-IoT</w:t>
      </w:r>
      <w:r>
        <w:rPr>
          <w:lang w:val="en-US"/>
        </w:rPr>
        <w:t xml:space="preserve">”, </w:t>
      </w:r>
      <w:r w:rsidR="00EA3A28">
        <w:rPr>
          <w:lang w:val="en-US"/>
        </w:rPr>
        <w:t>Qualcomm Incorporated</w:t>
      </w:r>
      <w:r>
        <w:rPr>
          <w:lang w:val="en-US"/>
        </w:rPr>
        <w:t>, RAN4 #8</w:t>
      </w:r>
      <w:r w:rsidR="00EA3A28">
        <w:rPr>
          <w:lang w:val="en-US"/>
        </w:rPr>
        <w:t>4bis</w:t>
      </w:r>
    </w:p>
    <w:p w14:paraId="164ABF9F" w14:textId="013D13D1" w:rsidR="00FF6D02" w:rsidRDefault="00FF6D02" w:rsidP="004A773A">
      <w:pPr>
        <w:rPr>
          <w:lang w:val="en-US"/>
        </w:rPr>
      </w:pPr>
      <w:r>
        <w:rPr>
          <w:lang w:val="en-US"/>
        </w:rPr>
        <w:t>[</w:t>
      </w:r>
      <w:r w:rsidR="00EA3A28">
        <w:rPr>
          <w:lang w:val="en-US"/>
        </w:rPr>
        <w:t>2</w:t>
      </w:r>
      <w:r>
        <w:rPr>
          <w:lang w:val="en-US"/>
        </w:rPr>
        <w:t>] R4-1802438, “On NSSS measurement accuracy in transmit diversity”, Ericsson, RAN4 #86</w:t>
      </w:r>
    </w:p>
    <w:p w14:paraId="3F49034D" w14:textId="7BF555D0" w:rsidR="00EA3A28" w:rsidRDefault="00EA3A28" w:rsidP="00EA3A28">
      <w:pPr>
        <w:rPr>
          <w:lang w:val="en-US"/>
        </w:rPr>
      </w:pPr>
      <w:r>
        <w:rPr>
          <w:lang w:val="en-US"/>
        </w:rPr>
        <w:t>[3] R4-1802786, “</w:t>
      </w:r>
      <w:r w:rsidRPr="00EA3A28">
        <w:rPr>
          <w:lang w:val="en-US"/>
        </w:rPr>
        <w:t>feNB-IoT NSSS based measurement discussion</w:t>
      </w:r>
      <w:r>
        <w:rPr>
          <w:lang w:val="en-US"/>
        </w:rPr>
        <w:t>”, Nokia, Nokia Shanghai Bell, RAN4 #86</w:t>
      </w:r>
    </w:p>
    <w:p w14:paraId="0311993B" w14:textId="27B634EC" w:rsidR="00EA3A28" w:rsidRDefault="00EA3A28" w:rsidP="00EA3A28">
      <w:pPr>
        <w:rPr>
          <w:lang w:val="en-US"/>
        </w:rPr>
      </w:pPr>
      <w:r>
        <w:rPr>
          <w:lang w:val="en-US"/>
        </w:rPr>
        <w:t xml:space="preserve">[4] </w:t>
      </w:r>
      <w:r w:rsidRPr="00EA3A28">
        <w:rPr>
          <w:lang w:val="en-US"/>
        </w:rPr>
        <w:t>R4-1714485</w:t>
      </w:r>
      <w:r>
        <w:rPr>
          <w:lang w:val="en-US"/>
        </w:rPr>
        <w:t>, “</w:t>
      </w:r>
      <w:r w:rsidRPr="00EA3A28">
        <w:rPr>
          <w:lang w:val="en-US"/>
        </w:rPr>
        <w:t>Way forward on NSSS-based RRM measurement</w:t>
      </w:r>
      <w:r>
        <w:rPr>
          <w:lang w:val="en-US"/>
        </w:rPr>
        <w:t>”, Qualcomm Incorporated, RAN4 #85</w:t>
      </w:r>
    </w:p>
    <w:p w14:paraId="5A1C19AB" w14:textId="77777777" w:rsidR="00EA3A28" w:rsidRPr="004A773A" w:rsidRDefault="00EA3A28" w:rsidP="004A773A">
      <w:pPr>
        <w:rPr>
          <w:lang w:val="en-US"/>
        </w:rPr>
      </w:pPr>
    </w:p>
    <w:p w14:paraId="234C97A8" w14:textId="77777777" w:rsidR="004A773A" w:rsidRPr="00941E9A" w:rsidRDefault="004A773A" w:rsidP="00DC2BD7">
      <w:pPr>
        <w:rPr>
          <w:b/>
          <w:i/>
          <w:lang w:val="en-US"/>
        </w:rPr>
      </w:pPr>
    </w:p>
    <w:sectPr w:rsidR="004A773A" w:rsidRPr="00941E9A"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C18BD" w14:textId="77777777" w:rsidR="00EC6B53" w:rsidRDefault="00EC6B53">
      <w:r>
        <w:separator/>
      </w:r>
    </w:p>
  </w:endnote>
  <w:endnote w:type="continuationSeparator" w:id="0">
    <w:p w14:paraId="3F5620F6" w14:textId="77777777" w:rsidR="00EC6B53" w:rsidRDefault="00EC6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80C59" w14:textId="77777777" w:rsidR="00FF6D02" w:rsidRDefault="00FF6D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E3E92B1" w14:textId="77777777" w:rsidR="00FF6D02" w:rsidRDefault="00FF6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F13E8" w14:textId="77777777" w:rsidR="00FF6D02" w:rsidRDefault="00FF6D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21B9A1A" w14:textId="77777777" w:rsidR="00FF6D02" w:rsidRDefault="00FF6D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F198D" w14:textId="77777777" w:rsidR="00EC6B53" w:rsidRDefault="00EC6B53">
      <w:r>
        <w:separator/>
      </w:r>
    </w:p>
  </w:footnote>
  <w:footnote w:type="continuationSeparator" w:id="0">
    <w:p w14:paraId="1FF850F2" w14:textId="77777777" w:rsidR="00EC6B53" w:rsidRDefault="00EC6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04619C"/>
    <w:multiLevelType w:val="hybridMultilevel"/>
    <w:tmpl w:val="CAB28B08"/>
    <w:lvl w:ilvl="0" w:tplc="3F343480">
      <w:start w:val="1"/>
      <w:numFmt w:val="bullet"/>
      <w:lvlText w:val="•"/>
      <w:lvlJc w:val="left"/>
      <w:pPr>
        <w:tabs>
          <w:tab w:val="num" w:pos="720"/>
        </w:tabs>
        <w:ind w:left="720" w:hanging="360"/>
      </w:pPr>
      <w:rPr>
        <w:rFonts w:ascii="Arial" w:hAnsi="Arial" w:hint="default"/>
      </w:rPr>
    </w:lvl>
    <w:lvl w:ilvl="1" w:tplc="7618F648">
      <w:start w:val="210"/>
      <w:numFmt w:val="bullet"/>
      <w:lvlText w:val="•"/>
      <w:lvlJc w:val="left"/>
      <w:pPr>
        <w:tabs>
          <w:tab w:val="num" w:pos="1440"/>
        </w:tabs>
        <w:ind w:left="1440" w:hanging="360"/>
      </w:pPr>
      <w:rPr>
        <w:rFonts w:ascii="Arial" w:hAnsi="Arial" w:hint="default"/>
      </w:rPr>
    </w:lvl>
    <w:lvl w:ilvl="2" w:tplc="ED4ACE6A" w:tentative="1">
      <w:start w:val="1"/>
      <w:numFmt w:val="bullet"/>
      <w:lvlText w:val="•"/>
      <w:lvlJc w:val="left"/>
      <w:pPr>
        <w:tabs>
          <w:tab w:val="num" w:pos="2160"/>
        </w:tabs>
        <w:ind w:left="2160" w:hanging="360"/>
      </w:pPr>
      <w:rPr>
        <w:rFonts w:ascii="Arial" w:hAnsi="Arial" w:hint="default"/>
      </w:rPr>
    </w:lvl>
    <w:lvl w:ilvl="3" w:tplc="311EBA94" w:tentative="1">
      <w:start w:val="1"/>
      <w:numFmt w:val="bullet"/>
      <w:lvlText w:val="•"/>
      <w:lvlJc w:val="left"/>
      <w:pPr>
        <w:tabs>
          <w:tab w:val="num" w:pos="2880"/>
        </w:tabs>
        <w:ind w:left="2880" w:hanging="360"/>
      </w:pPr>
      <w:rPr>
        <w:rFonts w:ascii="Arial" w:hAnsi="Arial" w:hint="default"/>
      </w:rPr>
    </w:lvl>
    <w:lvl w:ilvl="4" w:tplc="647C4C84" w:tentative="1">
      <w:start w:val="1"/>
      <w:numFmt w:val="bullet"/>
      <w:lvlText w:val="•"/>
      <w:lvlJc w:val="left"/>
      <w:pPr>
        <w:tabs>
          <w:tab w:val="num" w:pos="3600"/>
        </w:tabs>
        <w:ind w:left="3600" w:hanging="360"/>
      </w:pPr>
      <w:rPr>
        <w:rFonts w:ascii="Arial" w:hAnsi="Arial" w:hint="default"/>
      </w:rPr>
    </w:lvl>
    <w:lvl w:ilvl="5" w:tplc="BE76296A" w:tentative="1">
      <w:start w:val="1"/>
      <w:numFmt w:val="bullet"/>
      <w:lvlText w:val="•"/>
      <w:lvlJc w:val="left"/>
      <w:pPr>
        <w:tabs>
          <w:tab w:val="num" w:pos="4320"/>
        </w:tabs>
        <w:ind w:left="4320" w:hanging="360"/>
      </w:pPr>
      <w:rPr>
        <w:rFonts w:ascii="Arial" w:hAnsi="Arial" w:hint="default"/>
      </w:rPr>
    </w:lvl>
    <w:lvl w:ilvl="6" w:tplc="4FB0703A" w:tentative="1">
      <w:start w:val="1"/>
      <w:numFmt w:val="bullet"/>
      <w:lvlText w:val="•"/>
      <w:lvlJc w:val="left"/>
      <w:pPr>
        <w:tabs>
          <w:tab w:val="num" w:pos="5040"/>
        </w:tabs>
        <w:ind w:left="5040" w:hanging="360"/>
      </w:pPr>
      <w:rPr>
        <w:rFonts w:ascii="Arial" w:hAnsi="Arial" w:hint="default"/>
      </w:rPr>
    </w:lvl>
    <w:lvl w:ilvl="7" w:tplc="F1445CCC" w:tentative="1">
      <w:start w:val="1"/>
      <w:numFmt w:val="bullet"/>
      <w:lvlText w:val="•"/>
      <w:lvlJc w:val="left"/>
      <w:pPr>
        <w:tabs>
          <w:tab w:val="num" w:pos="5760"/>
        </w:tabs>
        <w:ind w:left="5760" w:hanging="360"/>
      </w:pPr>
      <w:rPr>
        <w:rFonts w:ascii="Arial" w:hAnsi="Arial" w:hint="default"/>
      </w:rPr>
    </w:lvl>
    <w:lvl w:ilvl="8" w:tplc="602AB5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747C57"/>
    <w:multiLevelType w:val="hybridMultilevel"/>
    <w:tmpl w:val="0ED8CCD2"/>
    <w:lvl w:ilvl="0" w:tplc="B7EEA9BC">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20"/>
  </w:num>
  <w:num w:numId="4">
    <w:abstractNumId w:val="4"/>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18"/>
  </w:num>
  <w:num w:numId="8">
    <w:abstractNumId w:val="8"/>
  </w:num>
  <w:num w:numId="9">
    <w:abstractNumId w:val="9"/>
  </w:num>
  <w:num w:numId="10">
    <w:abstractNumId w:val="7"/>
  </w:num>
  <w:num w:numId="11">
    <w:abstractNumId w:val="21"/>
  </w:num>
  <w:num w:numId="12">
    <w:abstractNumId w:val="11"/>
  </w:num>
  <w:num w:numId="13">
    <w:abstractNumId w:val="16"/>
  </w:num>
  <w:num w:numId="14">
    <w:abstractNumId w:val="10"/>
  </w:num>
  <w:num w:numId="15">
    <w:abstractNumId w:val="23"/>
  </w:num>
  <w:num w:numId="16">
    <w:abstractNumId w:val="19"/>
  </w:num>
  <w:num w:numId="17">
    <w:abstractNumId w:val="17"/>
  </w:num>
  <w:num w:numId="18">
    <w:abstractNumId w:val="5"/>
  </w:num>
  <w:num w:numId="19">
    <w:abstractNumId w:val="12"/>
  </w:num>
  <w:num w:numId="20">
    <w:abstractNumId w:val="3"/>
  </w:num>
  <w:num w:numId="21">
    <w:abstractNumId w:val="14"/>
  </w:num>
  <w:num w:numId="22">
    <w:abstractNumId w:val="0"/>
  </w:num>
  <w:num w:numId="23">
    <w:abstractNumId w:val="13"/>
  </w:num>
  <w:num w:numId="24">
    <w:abstractNumId w:val="6"/>
  </w:num>
  <w:num w:numId="2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F3"/>
    <w:rsid w:val="0000481B"/>
    <w:rsid w:val="0000481C"/>
    <w:rsid w:val="00004E62"/>
    <w:rsid w:val="000058D4"/>
    <w:rsid w:val="00005BDE"/>
    <w:rsid w:val="00006110"/>
    <w:rsid w:val="00006198"/>
    <w:rsid w:val="0000667F"/>
    <w:rsid w:val="00006C4A"/>
    <w:rsid w:val="00006C8A"/>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352E"/>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3A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7A2"/>
    <w:rsid w:val="000C2906"/>
    <w:rsid w:val="000C291C"/>
    <w:rsid w:val="000C2E55"/>
    <w:rsid w:val="000C3179"/>
    <w:rsid w:val="000C3AA3"/>
    <w:rsid w:val="000C3CDF"/>
    <w:rsid w:val="000C406C"/>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28B"/>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701F"/>
    <w:rsid w:val="001A745C"/>
    <w:rsid w:val="001A77F7"/>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591"/>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07B8"/>
    <w:rsid w:val="001C11F9"/>
    <w:rsid w:val="001C21A5"/>
    <w:rsid w:val="001C246A"/>
    <w:rsid w:val="001C27D0"/>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99B"/>
    <w:rsid w:val="001F1006"/>
    <w:rsid w:val="001F161C"/>
    <w:rsid w:val="001F1AFB"/>
    <w:rsid w:val="001F1E8A"/>
    <w:rsid w:val="001F229B"/>
    <w:rsid w:val="001F2871"/>
    <w:rsid w:val="001F2BBC"/>
    <w:rsid w:val="001F2C22"/>
    <w:rsid w:val="001F2F28"/>
    <w:rsid w:val="001F305A"/>
    <w:rsid w:val="001F3764"/>
    <w:rsid w:val="001F385A"/>
    <w:rsid w:val="001F3907"/>
    <w:rsid w:val="001F3935"/>
    <w:rsid w:val="001F3E73"/>
    <w:rsid w:val="001F43FE"/>
    <w:rsid w:val="001F4DED"/>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B2F"/>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05"/>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83"/>
    <w:rsid w:val="00333BB3"/>
    <w:rsid w:val="00333FF4"/>
    <w:rsid w:val="00333FF5"/>
    <w:rsid w:val="003341E6"/>
    <w:rsid w:val="003343D0"/>
    <w:rsid w:val="00334479"/>
    <w:rsid w:val="003344FC"/>
    <w:rsid w:val="00334510"/>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BBC"/>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298"/>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BF"/>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4B7A"/>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5136"/>
    <w:rsid w:val="003E5226"/>
    <w:rsid w:val="003E5407"/>
    <w:rsid w:val="003E6233"/>
    <w:rsid w:val="003E638F"/>
    <w:rsid w:val="003E658E"/>
    <w:rsid w:val="003E65BD"/>
    <w:rsid w:val="003E69B5"/>
    <w:rsid w:val="003E69B9"/>
    <w:rsid w:val="003E6EBE"/>
    <w:rsid w:val="003E7070"/>
    <w:rsid w:val="003E7470"/>
    <w:rsid w:val="003E74D7"/>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109"/>
    <w:rsid w:val="0041143A"/>
    <w:rsid w:val="0041147B"/>
    <w:rsid w:val="004115E8"/>
    <w:rsid w:val="004116D8"/>
    <w:rsid w:val="00411BF9"/>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24"/>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370"/>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71B"/>
    <w:rsid w:val="00450366"/>
    <w:rsid w:val="004504B5"/>
    <w:rsid w:val="004504E9"/>
    <w:rsid w:val="00450852"/>
    <w:rsid w:val="00450984"/>
    <w:rsid w:val="00450A10"/>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C4"/>
    <w:rsid w:val="0048250C"/>
    <w:rsid w:val="00482593"/>
    <w:rsid w:val="004826D9"/>
    <w:rsid w:val="00482832"/>
    <w:rsid w:val="00482B06"/>
    <w:rsid w:val="00482B81"/>
    <w:rsid w:val="00482C62"/>
    <w:rsid w:val="00483095"/>
    <w:rsid w:val="004834E4"/>
    <w:rsid w:val="004837B1"/>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D5B"/>
    <w:rsid w:val="00490E9A"/>
    <w:rsid w:val="004911B9"/>
    <w:rsid w:val="0049139C"/>
    <w:rsid w:val="00491A6E"/>
    <w:rsid w:val="00491ECB"/>
    <w:rsid w:val="00491EDD"/>
    <w:rsid w:val="00492325"/>
    <w:rsid w:val="00492425"/>
    <w:rsid w:val="0049263D"/>
    <w:rsid w:val="00492816"/>
    <w:rsid w:val="004928E2"/>
    <w:rsid w:val="004931C8"/>
    <w:rsid w:val="00493C48"/>
    <w:rsid w:val="00493EB1"/>
    <w:rsid w:val="00493EC5"/>
    <w:rsid w:val="0049437F"/>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73A"/>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29C"/>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97E"/>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7EA"/>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6058"/>
    <w:rsid w:val="0056694C"/>
    <w:rsid w:val="00566C7F"/>
    <w:rsid w:val="00566CD3"/>
    <w:rsid w:val="00567C4D"/>
    <w:rsid w:val="005700B8"/>
    <w:rsid w:val="00570341"/>
    <w:rsid w:val="00570586"/>
    <w:rsid w:val="00571613"/>
    <w:rsid w:val="005719CC"/>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562"/>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390"/>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F7D"/>
    <w:rsid w:val="005D6520"/>
    <w:rsid w:val="005D6C7D"/>
    <w:rsid w:val="005D70EA"/>
    <w:rsid w:val="005D789D"/>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9EE"/>
    <w:rsid w:val="00605A36"/>
    <w:rsid w:val="00606513"/>
    <w:rsid w:val="006070AE"/>
    <w:rsid w:val="00607638"/>
    <w:rsid w:val="006076FC"/>
    <w:rsid w:val="006102C5"/>
    <w:rsid w:val="0061043C"/>
    <w:rsid w:val="00610ADE"/>
    <w:rsid w:val="00610D7B"/>
    <w:rsid w:val="00611E72"/>
    <w:rsid w:val="006123A2"/>
    <w:rsid w:val="006123BA"/>
    <w:rsid w:val="0061268C"/>
    <w:rsid w:val="00612AA2"/>
    <w:rsid w:val="00613713"/>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A38"/>
    <w:rsid w:val="00625B5D"/>
    <w:rsid w:val="00625D0F"/>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C82"/>
    <w:rsid w:val="006453D5"/>
    <w:rsid w:val="00645E08"/>
    <w:rsid w:val="006460BD"/>
    <w:rsid w:val="00646CC7"/>
    <w:rsid w:val="006473D1"/>
    <w:rsid w:val="0064753B"/>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A17"/>
    <w:rsid w:val="00670A29"/>
    <w:rsid w:val="00670D3F"/>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C8"/>
    <w:rsid w:val="00681820"/>
    <w:rsid w:val="00681853"/>
    <w:rsid w:val="00681B13"/>
    <w:rsid w:val="00682099"/>
    <w:rsid w:val="00682418"/>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768"/>
    <w:rsid w:val="00686E9E"/>
    <w:rsid w:val="00687024"/>
    <w:rsid w:val="006870D0"/>
    <w:rsid w:val="00687CE3"/>
    <w:rsid w:val="00687F75"/>
    <w:rsid w:val="006909BD"/>
    <w:rsid w:val="00690C3C"/>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8A2"/>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6FE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56A9"/>
    <w:rsid w:val="00765749"/>
    <w:rsid w:val="007660A7"/>
    <w:rsid w:val="007660CE"/>
    <w:rsid w:val="007663F2"/>
    <w:rsid w:val="00766569"/>
    <w:rsid w:val="007666BA"/>
    <w:rsid w:val="00767076"/>
    <w:rsid w:val="00767180"/>
    <w:rsid w:val="00767328"/>
    <w:rsid w:val="00767825"/>
    <w:rsid w:val="00767832"/>
    <w:rsid w:val="00767A39"/>
    <w:rsid w:val="00767ECB"/>
    <w:rsid w:val="00770A22"/>
    <w:rsid w:val="00770C50"/>
    <w:rsid w:val="00770C66"/>
    <w:rsid w:val="00771681"/>
    <w:rsid w:val="007723BD"/>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BDB"/>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AD3"/>
    <w:rsid w:val="00794D61"/>
    <w:rsid w:val="007951C7"/>
    <w:rsid w:val="007952C5"/>
    <w:rsid w:val="007954D6"/>
    <w:rsid w:val="00795591"/>
    <w:rsid w:val="007955A3"/>
    <w:rsid w:val="00795628"/>
    <w:rsid w:val="00795A56"/>
    <w:rsid w:val="00795C6E"/>
    <w:rsid w:val="0079628B"/>
    <w:rsid w:val="00796354"/>
    <w:rsid w:val="00796FBD"/>
    <w:rsid w:val="0079758B"/>
    <w:rsid w:val="007979B2"/>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151"/>
    <w:rsid w:val="007D3853"/>
    <w:rsid w:val="007D3BEE"/>
    <w:rsid w:val="007D44DA"/>
    <w:rsid w:val="007D450F"/>
    <w:rsid w:val="007D478F"/>
    <w:rsid w:val="007D47CD"/>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86F"/>
    <w:rsid w:val="007E396B"/>
    <w:rsid w:val="007E3BF7"/>
    <w:rsid w:val="007E3F70"/>
    <w:rsid w:val="007E43A6"/>
    <w:rsid w:val="007E4526"/>
    <w:rsid w:val="007E4DA6"/>
    <w:rsid w:val="007E5200"/>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76"/>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DBD"/>
    <w:rsid w:val="00830E69"/>
    <w:rsid w:val="008310D9"/>
    <w:rsid w:val="008314CB"/>
    <w:rsid w:val="008318A3"/>
    <w:rsid w:val="008319D8"/>
    <w:rsid w:val="008323FE"/>
    <w:rsid w:val="0083247C"/>
    <w:rsid w:val="0083297F"/>
    <w:rsid w:val="00832EF7"/>
    <w:rsid w:val="00833439"/>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D9"/>
    <w:rsid w:val="00843BF9"/>
    <w:rsid w:val="00843FA1"/>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FE9"/>
    <w:rsid w:val="00855302"/>
    <w:rsid w:val="008553D6"/>
    <w:rsid w:val="008558DA"/>
    <w:rsid w:val="00855AD5"/>
    <w:rsid w:val="00855EE5"/>
    <w:rsid w:val="00855EF1"/>
    <w:rsid w:val="00855F04"/>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B0B"/>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DE4"/>
    <w:rsid w:val="00883EEA"/>
    <w:rsid w:val="008840CB"/>
    <w:rsid w:val="0088413D"/>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EDB"/>
    <w:rsid w:val="008B3245"/>
    <w:rsid w:val="008B356B"/>
    <w:rsid w:val="008B3A5F"/>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A40"/>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3A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967"/>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D22"/>
    <w:rsid w:val="009221CC"/>
    <w:rsid w:val="00922293"/>
    <w:rsid w:val="0092237D"/>
    <w:rsid w:val="0092276F"/>
    <w:rsid w:val="00922B50"/>
    <w:rsid w:val="00922CA7"/>
    <w:rsid w:val="00922DE5"/>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9F4"/>
    <w:rsid w:val="00934A82"/>
    <w:rsid w:val="00934D6C"/>
    <w:rsid w:val="009351CB"/>
    <w:rsid w:val="00935285"/>
    <w:rsid w:val="009355B9"/>
    <w:rsid w:val="009355DC"/>
    <w:rsid w:val="00935639"/>
    <w:rsid w:val="0093626B"/>
    <w:rsid w:val="00936571"/>
    <w:rsid w:val="00936BAC"/>
    <w:rsid w:val="00936F7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85B"/>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E8E"/>
    <w:rsid w:val="00992FAB"/>
    <w:rsid w:val="00993AB5"/>
    <w:rsid w:val="00995180"/>
    <w:rsid w:val="009960AE"/>
    <w:rsid w:val="0099613B"/>
    <w:rsid w:val="009966E1"/>
    <w:rsid w:val="00996C89"/>
    <w:rsid w:val="00996DED"/>
    <w:rsid w:val="0099731F"/>
    <w:rsid w:val="00997610"/>
    <w:rsid w:val="00997A3A"/>
    <w:rsid w:val="009A00C0"/>
    <w:rsid w:val="009A055F"/>
    <w:rsid w:val="009A0750"/>
    <w:rsid w:val="009A0CDA"/>
    <w:rsid w:val="009A1551"/>
    <w:rsid w:val="009A1698"/>
    <w:rsid w:val="009A172D"/>
    <w:rsid w:val="009A18D7"/>
    <w:rsid w:val="009A1ADF"/>
    <w:rsid w:val="009A1CA4"/>
    <w:rsid w:val="009A1DA7"/>
    <w:rsid w:val="009A1FBE"/>
    <w:rsid w:val="009A373F"/>
    <w:rsid w:val="009A43D3"/>
    <w:rsid w:val="009A4651"/>
    <w:rsid w:val="009A48D6"/>
    <w:rsid w:val="009A49A2"/>
    <w:rsid w:val="009A4D02"/>
    <w:rsid w:val="009A5305"/>
    <w:rsid w:val="009A5360"/>
    <w:rsid w:val="009A59C2"/>
    <w:rsid w:val="009A5CB7"/>
    <w:rsid w:val="009A5F5C"/>
    <w:rsid w:val="009A5F68"/>
    <w:rsid w:val="009A62C4"/>
    <w:rsid w:val="009A6824"/>
    <w:rsid w:val="009A72ED"/>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06E"/>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46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1AD"/>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89"/>
    <w:rsid w:val="00A9329B"/>
    <w:rsid w:val="00A9329D"/>
    <w:rsid w:val="00A9396B"/>
    <w:rsid w:val="00A93A21"/>
    <w:rsid w:val="00A93AA6"/>
    <w:rsid w:val="00A93BD1"/>
    <w:rsid w:val="00A93EAF"/>
    <w:rsid w:val="00A94050"/>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42A"/>
    <w:rsid w:val="00AA145D"/>
    <w:rsid w:val="00AA1A24"/>
    <w:rsid w:val="00AA1CC0"/>
    <w:rsid w:val="00AA2293"/>
    <w:rsid w:val="00AA26F7"/>
    <w:rsid w:val="00AA2A27"/>
    <w:rsid w:val="00AA43E0"/>
    <w:rsid w:val="00AA45E7"/>
    <w:rsid w:val="00AA4705"/>
    <w:rsid w:val="00AA490F"/>
    <w:rsid w:val="00AA4DC2"/>
    <w:rsid w:val="00AA4E03"/>
    <w:rsid w:val="00AA539D"/>
    <w:rsid w:val="00AA5422"/>
    <w:rsid w:val="00AA6389"/>
    <w:rsid w:val="00AA643B"/>
    <w:rsid w:val="00AA6672"/>
    <w:rsid w:val="00AA67FD"/>
    <w:rsid w:val="00AA6C33"/>
    <w:rsid w:val="00AA6D8D"/>
    <w:rsid w:val="00AA7049"/>
    <w:rsid w:val="00AA7863"/>
    <w:rsid w:val="00AA78D1"/>
    <w:rsid w:val="00AA7A91"/>
    <w:rsid w:val="00AB021E"/>
    <w:rsid w:val="00AB1454"/>
    <w:rsid w:val="00AB159A"/>
    <w:rsid w:val="00AB1697"/>
    <w:rsid w:val="00AB19DD"/>
    <w:rsid w:val="00AB1BF2"/>
    <w:rsid w:val="00AB226C"/>
    <w:rsid w:val="00AB316E"/>
    <w:rsid w:val="00AB35B2"/>
    <w:rsid w:val="00AB35B7"/>
    <w:rsid w:val="00AB4143"/>
    <w:rsid w:val="00AB467C"/>
    <w:rsid w:val="00AB488E"/>
    <w:rsid w:val="00AB4945"/>
    <w:rsid w:val="00AB4A58"/>
    <w:rsid w:val="00AB4C26"/>
    <w:rsid w:val="00AB4DCA"/>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692"/>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2A8"/>
    <w:rsid w:val="00B142CD"/>
    <w:rsid w:val="00B14474"/>
    <w:rsid w:val="00B14745"/>
    <w:rsid w:val="00B14865"/>
    <w:rsid w:val="00B148B5"/>
    <w:rsid w:val="00B14D74"/>
    <w:rsid w:val="00B15426"/>
    <w:rsid w:val="00B15781"/>
    <w:rsid w:val="00B15921"/>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8A9"/>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37D7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DF6"/>
    <w:rsid w:val="00B447C3"/>
    <w:rsid w:val="00B4540B"/>
    <w:rsid w:val="00B454D8"/>
    <w:rsid w:val="00B46047"/>
    <w:rsid w:val="00B4614C"/>
    <w:rsid w:val="00B46CA5"/>
    <w:rsid w:val="00B474C8"/>
    <w:rsid w:val="00B474E6"/>
    <w:rsid w:val="00B47751"/>
    <w:rsid w:val="00B47DD7"/>
    <w:rsid w:val="00B503DC"/>
    <w:rsid w:val="00B5194E"/>
    <w:rsid w:val="00B51A1B"/>
    <w:rsid w:val="00B51BAD"/>
    <w:rsid w:val="00B51F77"/>
    <w:rsid w:val="00B5226E"/>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4D6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1BE"/>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68F"/>
    <w:rsid w:val="00C036A3"/>
    <w:rsid w:val="00C03CE4"/>
    <w:rsid w:val="00C03DBE"/>
    <w:rsid w:val="00C03E94"/>
    <w:rsid w:val="00C04709"/>
    <w:rsid w:val="00C04BCC"/>
    <w:rsid w:val="00C04C74"/>
    <w:rsid w:val="00C05631"/>
    <w:rsid w:val="00C06234"/>
    <w:rsid w:val="00C0686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BF9"/>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885"/>
    <w:rsid w:val="00C3796F"/>
    <w:rsid w:val="00C37D5E"/>
    <w:rsid w:val="00C40619"/>
    <w:rsid w:val="00C409D5"/>
    <w:rsid w:val="00C40E3F"/>
    <w:rsid w:val="00C40FFB"/>
    <w:rsid w:val="00C413C2"/>
    <w:rsid w:val="00C41A5F"/>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544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4B3"/>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1D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313"/>
    <w:rsid w:val="00D803B4"/>
    <w:rsid w:val="00D809C8"/>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A12"/>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0FFB"/>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60"/>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4307"/>
    <w:rsid w:val="00E148B6"/>
    <w:rsid w:val="00E14ACF"/>
    <w:rsid w:val="00E14FE5"/>
    <w:rsid w:val="00E15100"/>
    <w:rsid w:val="00E15211"/>
    <w:rsid w:val="00E1530B"/>
    <w:rsid w:val="00E1538E"/>
    <w:rsid w:val="00E1543D"/>
    <w:rsid w:val="00E1557E"/>
    <w:rsid w:val="00E15A00"/>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B93"/>
    <w:rsid w:val="00E23FF0"/>
    <w:rsid w:val="00E24020"/>
    <w:rsid w:val="00E2416F"/>
    <w:rsid w:val="00E246DB"/>
    <w:rsid w:val="00E24AE2"/>
    <w:rsid w:val="00E24B05"/>
    <w:rsid w:val="00E24B07"/>
    <w:rsid w:val="00E24BF1"/>
    <w:rsid w:val="00E25241"/>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7D9"/>
    <w:rsid w:val="00E44888"/>
    <w:rsid w:val="00E44C41"/>
    <w:rsid w:val="00E44C85"/>
    <w:rsid w:val="00E44E57"/>
    <w:rsid w:val="00E44FD4"/>
    <w:rsid w:val="00E45831"/>
    <w:rsid w:val="00E45BBF"/>
    <w:rsid w:val="00E45C79"/>
    <w:rsid w:val="00E45FA8"/>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109F"/>
    <w:rsid w:val="00E7129C"/>
    <w:rsid w:val="00E71D27"/>
    <w:rsid w:val="00E72753"/>
    <w:rsid w:val="00E72BE9"/>
    <w:rsid w:val="00E72C3C"/>
    <w:rsid w:val="00E72FFD"/>
    <w:rsid w:val="00E73163"/>
    <w:rsid w:val="00E739D3"/>
    <w:rsid w:val="00E74013"/>
    <w:rsid w:val="00E74284"/>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314"/>
    <w:rsid w:val="00EA2601"/>
    <w:rsid w:val="00EA3166"/>
    <w:rsid w:val="00EA33B1"/>
    <w:rsid w:val="00EA3449"/>
    <w:rsid w:val="00EA3460"/>
    <w:rsid w:val="00EA38A6"/>
    <w:rsid w:val="00EA3A28"/>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53"/>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49FB"/>
    <w:rsid w:val="00ED52CC"/>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49B"/>
    <w:rsid w:val="00EE5A0B"/>
    <w:rsid w:val="00EE5A1C"/>
    <w:rsid w:val="00EE5AB7"/>
    <w:rsid w:val="00EE622E"/>
    <w:rsid w:val="00EE6630"/>
    <w:rsid w:val="00EE6981"/>
    <w:rsid w:val="00EE6C0A"/>
    <w:rsid w:val="00EE6E68"/>
    <w:rsid w:val="00EE7336"/>
    <w:rsid w:val="00EE7DA3"/>
    <w:rsid w:val="00EE7DDC"/>
    <w:rsid w:val="00EE7F20"/>
    <w:rsid w:val="00EF0D0D"/>
    <w:rsid w:val="00EF0DD2"/>
    <w:rsid w:val="00EF101A"/>
    <w:rsid w:val="00EF103A"/>
    <w:rsid w:val="00EF1B06"/>
    <w:rsid w:val="00EF1B80"/>
    <w:rsid w:val="00EF1E8C"/>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769"/>
    <w:rsid w:val="00F27B14"/>
    <w:rsid w:val="00F30B07"/>
    <w:rsid w:val="00F30DAF"/>
    <w:rsid w:val="00F31521"/>
    <w:rsid w:val="00F31692"/>
    <w:rsid w:val="00F31953"/>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BBB"/>
    <w:rsid w:val="00F43C3E"/>
    <w:rsid w:val="00F44626"/>
    <w:rsid w:val="00F44679"/>
    <w:rsid w:val="00F44EE6"/>
    <w:rsid w:val="00F45450"/>
    <w:rsid w:val="00F4593E"/>
    <w:rsid w:val="00F45965"/>
    <w:rsid w:val="00F45C93"/>
    <w:rsid w:val="00F46030"/>
    <w:rsid w:val="00F4619F"/>
    <w:rsid w:val="00F465D6"/>
    <w:rsid w:val="00F465FF"/>
    <w:rsid w:val="00F46B3C"/>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50AE"/>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3FD5"/>
    <w:rsid w:val="00F7400E"/>
    <w:rsid w:val="00F74159"/>
    <w:rsid w:val="00F74551"/>
    <w:rsid w:val="00F747CD"/>
    <w:rsid w:val="00F74CA8"/>
    <w:rsid w:val="00F75089"/>
    <w:rsid w:val="00F75134"/>
    <w:rsid w:val="00F75594"/>
    <w:rsid w:val="00F75DEB"/>
    <w:rsid w:val="00F75EA0"/>
    <w:rsid w:val="00F75FF6"/>
    <w:rsid w:val="00F762D7"/>
    <w:rsid w:val="00F7689F"/>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A75"/>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B31"/>
    <w:rsid w:val="00FF3B3E"/>
    <w:rsid w:val="00FF49BD"/>
    <w:rsid w:val="00FF4BEE"/>
    <w:rsid w:val="00FF4E3C"/>
    <w:rsid w:val="00FF4F24"/>
    <w:rsid w:val="00FF4FBD"/>
    <w:rsid w:val="00FF516E"/>
    <w:rsid w:val="00FF5992"/>
    <w:rsid w:val="00FF5BE4"/>
    <w:rsid w:val="00FF614F"/>
    <w:rsid w:val="00FF6889"/>
    <w:rsid w:val="00FF6B89"/>
    <w:rsid w:val="00FF6D02"/>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42F46C"/>
  <w15:chartTrackingRefBased/>
  <w15:docId w15:val="{7B2370FD-1141-4D7E-BD1A-60C58ED1C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5669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76527183">
      <w:bodyDiv w:val="1"/>
      <w:marLeft w:val="0"/>
      <w:marRight w:val="0"/>
      <w:marTop w:val="0"/>
      <w:marBottom w:val="0"/>
      <w:divBdr>
        <w:top w:val="none" w:sz="0" w:space="0" w:color="auto"/>
        <w:left w:val="none" w:sz="0" w:space="0" w:color="auto"/>
        <w:bottom w:val="none" w:sz="0" w:space="0" w:color="auto"/>
        <w:right w:val="none" w:sz="0" w:space="0" w:color="auto"/>
      </w:divBdr>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6518521">
      <w:bodyDiv w:val="1"/>
      <w:marLeft w:val="0"/>
      <w:marRight w:val="0"/>
      <w:marTop w:val="0"/>
      <w:marBottom w:val="0"/>
      <w:divBdr>
        <w:top w:val="none" w:sz="0" w:space="0" w:color="auto"/>
        <w:left w:val="none" w:sz="0" w:space="0" w:color="auto"/>
        <w:bottom w:val="none" w:sz="0" w:space="0" w:color="auto"/>
        <w:right w:val="none" w:sz="0" w:space="0" w:color="auto"/>
      </w:divBdr>
      <w:divsChild>
        <w:div w:id="823929194">
          <w:marLeft w:val="360"/>
          <w:marRight w:val="0"/>
          <w:marTop w:val="200"/>
          <w:marBottom w:val="0"/>
          <w:divBdr>
            <w:top w:val="none" w:sz="0" w:space="0" w:color="auto"/>
            <w:left w:val="none" w:sz="0" w:space="0" w:color="auto"/>
            <w:bottom w:val="none" w:sz="0" w:space="0" w:color="auto"/>
            <w:right w:val="none" w:sz="0" w:space="0" w:color="auto"/>
          </w:divBdr>
        </w:div>
        <w:div w:id="980887624">
          <w:marLeft w:val="1080"/>
          <w:marRight w:val="0"/>
          <w:marTop w:val="100"/>
          <w:marBottom w:val="0"/>
          <w:divBdr>
            <w:top w:val="none" w:sz="0" w:space="0" w:color="auto"/>
            <w:left w:val="none" w:sz="0" w:space="0" w:color="auto"/>
            <w:bottom w:val="none" w:sz="0" w:space="0" w:color="auto"/>
            <w:right w:val="none" w:sz="0" w:space="0" w:color="auto"/>
          </w:divBdr>
        </w:div>
        <w:div w:id="1028985922">
          <w:marLeft w:val="1080"/>
          <w:marRight w:val="0"/>
          <w:marTop w:val="100"/>
          <w:marBottom w:val="0"/>
          <w:divBdr>
            <w:top w:val="none" w:sz="0" w:space="0" w:color="auto"/>
            <w:left w:val="none" w:sz="0" w:space="0" w:color="auto"/>
            <w:bottom w:val="none" w:sz="0" w:space="0" w:color="auto"/>
            <w:right w:val="none" w:sz="0" w:space="0" w:color="auto"/>
          </w:divBdr>
        </w:div>
        <w:div w:id="1116869509">
          <w:marLeft w:val="1080"/>
          <w:marRight w:val="0"/>
          <w:marTop w:val="100"/>
          <w:marBottom w:val="0"/>
          <w:divBdr>
            <w:top w:val="none" w:sz="0" w:space="0" w:color="auto"/>
            <w:left w:val="none" w:sz="0" w:space="0" w:color="auto"/>
            <w:bottom w:val="none" w:sz="0" w:space="0" w:color="auto"/>
            <w:right w:val="none" w:sz="0" w:space="0" w:color="auto"/>
          </w:divBdr>
        </w:div>
      </w:divsChild>
    </w:div>
    <w:div w:id="1664551738">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477731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5CD57-97CA-4BAB-9E8F-5601C583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734</TotalTime>
  <Pages>4</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16</cp:revision>
  <cp:lastPrinted>2009-04-22T21:01:00Z</cp:lastPrinted>
  <dcterms:created xsi:type="dcterms:W3CDTF">2018-04-04T08:37:00Z</dcterms:created>
  <dcterms:modified xsi:type="dcterms:W3CDTF">2018-04-06T15:33:00Z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draft contribution on hetnet icic</vt:lpwstr>
  </property>
  <property fmtid="{D5CDD505-2E9C-101B-9397-08002B2CF9AE}" pid="8" name="_AuthorEmail">
    <vt:lpwstr>ywei@qualcomm.com</vt:lpwstr>
  </property>
  <property fmtid="{D5CDD505-2E9C-101B-9397-08002B2CF9AE}" pid="9" name="_AuthorEmailDisplayName">
    <vt:lpwstr>Wei, Yongbin</vt:lpwstr>
  </property>
  <property fmtid="{D5CDD505-2E9C-101B-9397-08002B2CF9AE}" pid="10" name="_EmailEntryID">
    <vt:lpwstr>000000004BA4757657D91F41910C5AAB2192943607002147AB0F3266FD449D5C13AF8B3A41F3000000080DC80000665ECB8DD3C40946956D0122B54632B200044A9F68F30000</vt:lpwstr>
  </property>
  <property fmtid="{D5CDD505-2E9C-101B-9397-08002B2CF9AE}" pid="11" name="_AdHocReviewCycleID">
    <vt:i4>1281940711</vt:i4>
  </property>
  <property fmtid="{D5CDD505-2E9C-101B-9397-08002B2CF9AE}" pid="12" name="_PreviousAdHocReviewCycleID">
    <vt:i4>-608203973</vt:i4>
  </property>
  <property fmtid="{D5CDD505-2E9C-101B-9397-08002B2CF9AE}" pid="13"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14"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